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jc w:val="both"/>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ind w:left="1260" w:firstLine="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left="1260" w:firstLine="0"/>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left="1260" w:firstLine="0"/>
        <w:jc w:val="left"/>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区(镇)监测能力提升工程</w:t>
      </w:r>
      <w:r/>
    </w:p>
    <w:p>
      <w:pPr>
        <w:ind w:left="1260" w:firstLine="0"/>
        <w:jc w:val="left"/>
        <w:spacing w:before="120" w:after="120" w:line="360" w:lineRule="auto"/>
        <w:rPr>
          <w:rFonts w:hint="default" w:ascii="Arial" w:hAnsi="Arial" w:eastAsia="宋体"/>
          <w:b/>
          <w:bCs/>
          <w:sz w:val="32"/>
          <w:szCs w:val="24"/>
          <w:highlight w:val="none"/>
          <w:lang w:val="en-US" w:eastAsia="zh-CN"/>
        </w:rPr>
      </w:pPr>
      <w:r>
        <w:rPr>
          <w:rFonts w:hint="eastAsia" w:ascii="Arial" w:hAnsi="Arial"/>
          <w:b/>
          <w:bCs/>
          <w:sz w:val="32"/>
          <w:szCs w:val="24"/>
          <w:highlight w:val="none"/>
        </w:rPr>
        <w:t xml:space="preserve">项目编号：JSZC-321283-TZCX-G2026-0005</w:t>
      </w:r>
      <w:r>
        <w:rPr>
          <w:rFonts w:hint="eastAsia" w:ascii="Arial" w:hAnsi="Arial"/>
          <w:b/>
          <w:bCs/>
          <w:sz w:val="32"/>
          <w:szCs w:val="24"/>
          <w:highlight w:val="none"/>
          <w:lang w:val="en-US" w:eastAsia="zh-CN"/>
        </w:rPr>
        <w:t xml:space="preserve">   </w:t>
      </w:r>
      <w:r/>
    </w:p>
    <w:p>
      <w:pPr>
        <w:ind w:left="2800" w:hanging="2800"/>
        <w:rPr>
          <w:b/>
          <w:sz w:val="28"/>
          <w:szCs w:val="28"/>
          <w:highlight w:val="none"/>
        </w:rPr>
      </w:pPr>
      <w:r>
        <w:rPr>
          <w:rFonts w:hint="eastAsia"/>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p>
    <w:p>
      <w:pPr>
        <w:rPr>
          <w:rFonts w:hint="eastAsia"/>
          <w:b/>
          <w:color w:val="ff0000"/>
          <w:sz w:val="24"/>
          <w:szCs w:val="24"/>
          <w:highlight w:val="none"/>
        </w:rPr>
      </w:pPr>
      <w:r>
        <w:rPr>
          <w:rFonts w:hint="eastAsia"/>
          <w:b/>
          <w:color w:val="ff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bookmarkStart w:id="325" w:name="_GoBack"/>
      <w:r/>
      <w:bookmarkEnd w:id="325"/>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360" w:lineRule="auto"/>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lang w:eastAsia="zh-CN"/>
        </w:rPr>
        <w:t xml:space="preserve">江苏省泰兴经济开发区管理委员会</w:t>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5</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bookmarkStart w:id="0" w:name="_Toc120614210"/>
      <w:r/>
      <w:bookmarkStart w:id="1" w:name="_Toc479757206"/>
      <w:r/>
      <w:bookmarkStart w:id="2" w:name="_Toc20823272"/>
      <w:r/>
      <w:bookmarkStart w:id="3" w:name="_Toc513029200"/>
      <w:r/>
      <w:bookmarkStart w:id="4" w:name="_Toc523127445"/>
      <w:r/>
      <w:bookmarkStart w:id="5" w:name="_Toc16938516"/>
      <w:r/>
      <w:r/>
    </w:p>
    <w:p>
      <w:pPr>
        <w:jc w:val="center"/>
        <w:spacing w:line="480" w:lineRule="auto"/>
        <w:rPr>
          <w:rFonts w:hint="eastAsia" w:ascii="黑体" w:hAnsi="Arial" w:eastAsia="黑体"/>
          <w:b/>
          <w:color w:val="000000"/>
          <w:sz w:val="44"/>
          <w:szCs w:val="21"/>
          <w:highlight w:val="none"/>
        </w:rPr>
        <w:outlineLvl w:val="9"/>
      </w:pPr>
      <w:r>
        <w:rPr>
          <w:rFonts w:hint="eastAsia" w:ascii="黑体" w:hAnsi="Arial" w:eastAsia="黑体"/>
          <w:b/>
          <w:color w:val="000000"/>
          <w:sz w:val="44"/>
          <w:szCs w:val="21"/>
          <w:highlight w:val="none"/>
        </w:rPr>
        <w:t xml:space="preserve">总  目  录</w:t>
      </w:r>
      <w:r/>
    </w:p>
    <w:p>
      <w:pPr>
        <w:pStyle w:val="1002"/>
        <w:tabs>
          <w:tab w:val="right" w:pos="8312" w:leader="dot"/>
        </w:tabs>
        <w:rPr>
          <w:highlight w:val="none"/>
        </w:rPr>
      </w:pPr>
      <w:r>
        <w:rPr>
          <w:rFonts w:hint="eastAsia" w:ascii="黑体" w:hAnsi="Arial" w:eastAsia="黑体"/>
          <w:b/>
          <w:color w:val="000000"/>
          <w:sz w:val="44"/>
          <w:szCs w:val="21"/>
          <w:highlight w:val="none"/>
        </w:rPr>
        <w:fldChar w:fldCharType="begin"/>
      </w:r>
      <w:r>
        <w:rPr>
          <w:rFonts w:hint="eastAsia" w:ascii="黑体" w:hAnsi="Arial" w:eastAsia="黑体"/>
          <w:b/>
          <w:color w:val="000000"/>
          <w:sz w:val="44"/>
          <w:szCs w:val="21"/>
          <w:highlight w:val="none"/>
        </w:rPr>
        <w:instrText xml:space="preserve">TOC \o "1-1" \h \u </w:instrText>
      </w:r>
      <w:r>
        <w:rPr>
          <w:rFonts w:hint="eastAsia" w:ascii="黑体" w:hAnsi="Arial" w:eastAsia="黑体"/>
          <w:b/>
          <w:color w:val="000000"/>
          <w:sz w:val="44"/>
          <w:szCs w:val="21"/>
          <w:highlight w:val="none"/>
        </w:rPr>
        <w:fldChar w:fldCharType="separate"/>
      </w: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_Toc5079 </w:instrText>
      </w:r>
      <w:r>
        <w:rPr>
          <w:rFonts w:hint="eastAsia" w:ascii="黑体" w:hAnsi="Arial" w:eastAsia="黑体"/>
          <w:szCs w:val="21"/>
          <w:highlight w:val="none"/>
        </w:rPr>
        <w:fldChar w:fldCharType="separate"/>
      </w:r>
      <w:r>
        <w:rPr>
          <w:rFonts w:hint="eastAsia" w:ascii="黑体" w:eastAsia="黑体"/>
          <w:szCs w:val="44"/>
          <w:highlight w:val="none"/>
        </w:rPr>
        <w:t xml:space="preserve">第一章  </w:t>
      </w:r>
      <w:r>
        <w:rPr>
          <w:rFonts w:hint="eastAsia" w:ascii="黑体" w:eastAsia="黑体"/>
          <w:szCs w:val="44"/>
          <w:highlight w:val="none"/>
          <w:lang w:val="en-US" w:eastAsia="zh-CN"/>
        </w:rPr>
        <w:t xml:space="preserve">招标公告</w:t>
      </w:r>
      <w:r>
        <w:rPr>
          <w:highlight w:val="none"/>
        </w:rPr>
        <w:tab/>
      </w:r>
      <w:r>
        <w:rPr>
          <w:highlight w:val="none"/>
        </w:rPr>
        <w:fldChar w:fldCharType="begin"/>
      </w:r>
      <w:r>
        <w:rPr>
          <w:highlight w:val="none"/>
        </w:rPr>
        <w:instrText xml:space="preserve"> PAGEREF _Toc5079 \h </w:instrText>
      </w:r>
      <w:r>
        <w:rPr>
          <w:highlight w:val="none"/>
        </w:rPr>
        <w:fldChar w:fldCharType="separate"/>
      </w:r>
      <w:r>
        <w:rPr>
          <w:highlight w:val="none"/>
        </w:rPr>
        <w:t xml:space="preserve">1</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_Toc15929 </w:instrText>
      </w:r>
      <w:r>
        <w:rPr>
          <w:rFonts w:hint="eastAsia" w:ascii="黑体" w:hAnsi="Arial" w:eastAsia="黑体"/>
          <w:szCs w:val="21"/>
          <w:highlight w:val="none"/>
        </w:rPr>
        <w:fldChar w:fldCharType="separate"/>
      </w:r>
      <w:r>
        <w:rPr>
          <w:rFonts w:hint="eastAsia"/>
          <w:bCs/>
          <w:szCs w:val="32"/>
          <w:highlight w:val="none"/>
        </w:rPr>
        <w:t xml:space="preserve">一、项目基本情况</w:t>
      </w:r>
      <w:r>
        <w:rPr>
          <w:highlight w:val="none"/>
        </w:rPr>
        <w:tab/>
      </w:r>
      <w:r>
        <w:rPr>
          <w:highlight w:val="none"/>
        </w:rPr>
        <w:fldChar w:fldCharType="begin"/>
      </w:r>
      <w:r>
        <w:rPr>
          <w:highlight w:val="none"/>
        </w:rPr>
        <w:instrText xml:space="preserve"> PAGEREF _Toc15929 \h </w:instrText>
      </w:r>
      <w:r>
        <w:rPr>
          <w:highlight w:val="none"/>
        </w:rPr>
        <w:fldChar w:fldCharType="separate"/>
      </w:r>
      <w:r>
        <w:rPr>
          <w:highlight w:val="none"/>
        </w:rPr>
        <w:t xml:space="preserve">1</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_Toc4973 </w:instrText>
      </w:r>
      <w:r>
        <w:rPr>
          <w:rFonts w:hint="eastAsia" w:ascii="黑体" w:hAnsi="Arial" w:eastAsia="黑体"/>
          <w:szCs w:val="21"/>
          <w:highlight w:val="none"/>
        </w:rPr>
        <w:fldChar w:fldCharType="separate"/>
      </w:r>
      <w:r>
        <w:rPr>
          <w:rFonts w:hint="eastAsia"/>
          <w:bCs/>
          <w:szCs w:val="32"/>
          <w:highlight w:val="none"/>
        </w:rPr>
        <w:t xml:space="preserve">二、申请人的资格要求</w:t>
      </w:r>
      <w:r>
        <w:rPr>
          <w:highlight w:val="none"/>
        </w:rPr>
        <w:tab/>
      </w:r>
      <w:r>
        <w:rPr>
          <w:highlight w:val="none"/>
        </w:rPr>
        <w:fldChar w:fldCharType="begin"/>
      </w:r>
      <w:r>
        <w:rPr>
          <w:highlight w:val="none"/>
        </w:rPr>
        <w:instrText xml:space="preserve"> PAGEREF _Toc4973 \h </w:instrText>
      </w:r>
      <w:r>
        <w:rPr>
          <w:highlight w:val="none"/>
        </w:rPr>
        <w:fldChar w:fldCharType="separate"/>
      </w:r>
      <w:r>
        <w:rPr>
          <w:highlight w:val="none"/>
        </w:rPr>
        <w:t xml:space="preserve">1</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_Toc20406 </w:instrText>
      </w:r>
      <w:r>
        <w:rPr>
          <w:rFonts w:hint="eastAsia" w:ascii="黑体" w:hAnsi="Arial" w:eastAsia="黑体"/>
          <w:szCs w:val="21"/>
          <w:highlight w:val="none"/>
        </w:rPr>
        <w:fldChar w:fldCharType="separate"/>
      </w:r>
      <w:r>
        <w:rPr>
          <w:rFonts w:hint="eastAsia"/>
          <w:bCs/>
          <w:szCs w:val="32"/>
          <w:highlight w:val="none"/>
        </w:rPr>
        <w:t xml:space="preserve">三、获取招标文件</w:t>
      </w:r>
      <w:r>
        <w:rPr>
          <w:highlight w:val="none"/>
        </w:rPr>
        <w:tab/>
      </w:r>
      <w:r>
        <w:rPr>
          <w:highlight w:val="none"/>
        </w:rPr>
        <w:fldChar w:fldCharType="begin"/>
      </w:r>
      <w:r>
        <w:rPr>
          <w:highlight w:val="none"/>
        </w:rPr>
        <w:instrText xml:space="preserve"> PAGEREF _Toc20406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_Toc31841 </w:instrText>
      </w:r>
      <w:r>
        <w:rPr>
          <w:rFonts w:hint="eastAsia" w:ascii="黑体" w:hAnsi="Arial" w:eastAsia="黑体"/>
          <w:szCs w:val="21"/>
          <w:highlight w:val="none"/>
        </w:rPr>
        <w:fldChar w:fldCharType="separate"/>
      </w:r>
      <w:r>
        <w:rPr>
          <w:rFonts w:hint="eastAsia"/>
          <w:bCs/>
          <w:szCs w:val="32"/>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_Toc31841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_Toc21054 </w:instrText>
      </w:r>
      <w:r>
        <w:rPr>
          <w:rFonts w:hint="eastAsia" w:ascii="黑体" w:hAnsi="Arial" w:eastAsia="黑体"/>
          <w:szCs w:val="21"/>
          <w:highlight w:val="none"/>
        </w:rPr>
        <w:fldChar w:fldCharType="separate"/>
      </w:r>
      <w:r>
        <w:rPr>
          <w:rFonts w:hint="eastAsia"/>
          <w:bCs/>
          <w:szCs w:val="32"/>
          <w:highlight w:val="none"/>
        </w:rPr>
        <w:t xml:space="preserve">五、公告期限</w:t>
      </w:r>
      <w:r>
        <w:rPr>
          <w:highlight w:val="none"/>
        </w:rPr>
        <w:tab/>
      </w:r>
      <w:r>
        <w:rPr>
          <w:highlight w:val="none"/>
        </w:rPr>
        <w:fldChar w:fldCharType="begin"/>
      </w:r>
      <w:r>
        <w:rPr>
          <w:highlight w:val="none"/>
        </w:rPr>
        <w:instrText xml:space="preserve"> PAGEREF _Toc21054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_Toc31672 </w:instrText>
      </w:r>
      <w:r>
        <w:rPr>
          <w:rFonts w:hint="eastAsia" w:ascii="黑体" w:hAnsi="Arial" w:eastAsia="黑体"/>
          <w:szCs w:val="21"/>
          <w:highlight w:val="none"/>
        </w:rPr>
        <w:fldChar w:fldCharType="separate"/>
      </w:r>
      <w:r>
        <w:rPr>
          <w:rFonts w:hint="eastAsia"/>
          <w:bCs/>
          <w:szCs w:val="32"/>
          <w:highlight w:val="none"/>
        </w:rPr>
        <w:t xml:space="preserve">六、其他补充事宜</w:t>
      </w:r>
      <w:r>
        <w:rPr>
          <w:highlight w:val="none"/>
        </w:rPr>
        <w:tab/>
      </w:r>
      <w:r>
        <w:rPr>
          <w:highlight w:val="none"/>
        </w:rPr>
        <w:fldChar w:fldCharType="begin"/>
      </w:r>
      <w:r>
        <w:rPr>
          <w:highlight w:val="none"/>
        </w:rPr>
        <w:instrText xml:space="preserve"> PAGEREF _Toc31672 \h </w:instrText>
      </w:r>
      <w:r>
        <w:rPr>
          <w:highlight w:val="none"/>
        </w:rPr>
        <w:fldChar w:fldCharType="separate"/>
      </w:r>
      <w:r>
        <w:rPr>
          <w:highlight w:val="none"/>
        </w:rPr>
        <w:t xml:space="preserve">2</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_Toc521 </w:instrText>
      </w:r>
      <w:r>
        <w:rPr>
          <w:rFonts w:hint="eastAsia" w:ascii="黑体" w:hAnsi="Arial" w:eastAsia="黑体"/>
          <w:szCs w:val="21"/>
          <w:highlight w:val="none"/>
        </w:rPr>
        <w:fldChar w:fldCharType="separate"/>
      </w:r>
      <w:r>
        <w:rPr>
          <w:rFonts w:hint="eastAsia"/>
          <w:bCs/>
          <w:szCs w:val="32"/>
          <w:highlight w:val="none"/>
        </w:rPr>
        <w:t xml:space="preserve">七、本次招标联系方式</w:t>
      </w:r>
      <w:r>
        <w:rPr>
          <w:highlight w:val="none"/>
        </w:rPr>
        <w:tab/>
      </w:r>
      <w:r>
        <w:rPr>
          <w:highlight w:val="none"/>
        </w:rPr>
        <w:fldChar w:fldCharType="begin"/>
      </w:r>
      <w:r>
        <w:rPr>
          <w:highlight w:val="none"/>
        </w:rPr>
        <w:instrText xml:space="preserve"> PAGEREF _Toc521 \h </w:instrText>
      </w:r>
      <w:r>
        <w:rPr>
          <w:highlight w:val="none"/>
        </w:rPr>
        <w:fldChar w:fldCharType="separate"/>
      </w:r>
      <w:r>
        <w:rPr>
          <w:highlight w:val="none"/>
        </w:rPr>
        <w:t xml:space="preserve">3</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_Toc6921 </w:instrText>
      </w:r>
      <w:r>
        <w:rPr>
          <w:rFonts w:hint="eastAsia" w:ascii="黑体" w:hAnsi="Arial" w:eastAsia="黑体"/>
          <w:szCs w:val="21"/>
          <w:highlight w:val="none"/>
        </w:rPr>
        <w:fldChar w:fldCharType="separate"/>
      </w:r>
      <w:r>
        <w:rPr>
          <w:rFonts w:hint="eastAsia" w:ascii="黑体" w:hAnsi="Arial" w:eastAsia="黑体" w:cs="Arial"/>
          <w:bCs/>
          <w:szCs w:val="44"/>
          <w:highlight w:val="none"/>
        </w:rPr>
        <w:t xml:space="preserve">第二章  投标人须知</w:t>
      </w:r>
      <w:r>
        <w:rPr>
          <w:highlight w:val="none"/>
        </w:rPr>
        <w:tab/>
      </w:r>
      <w:r>
        <w:rPr>
          <w:highlight w:val="none"/>
        </w:rPr>
        <w:fldChar w:fldCharType="begin"/>
      </w:r>
      <w:r>
        <w:rPr>
          <w:highlight w:val="none"/>
        </w:rPr>
        <w:instrText xml:space="preserve"> PAGEREF _Toc6921 \h </w:instrText>
      </w:r>
      <w:r>
        <w:rPr>
          <w:highlight w:val="none"/>
        </w:rPr>
        <w:fldChar w:fldCharType="separate"/>
      </w:r>
      <w:r>
        <w:rPr>
          <w:highlight w:val="none"/>
        </w:rPr>
        <w:t xml:space="preserve">4</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_Toc5138 </w:instrText>
      </w:r>
      <w:r>
        <w:rPr>
          <w:rFonts w:hint="eastAsia" w:ascii="黑体" w:hAnsi="Arial" w:eastAsia="黑体"/>
          <w:szCs w:val="21"/>
          <w:highlight w:val="none"/>
        </w:rPr>
        <w:fldChar w:fldCharType="separate"/>
      </w:r>
      <w:r>
        <w:rPr>
          <w:rFonts w:hint="eastAsia" w:ascii="黑体" w:eastAsia="黑体"/>
          <w:bCs/>
          <w:szCs w:val="28"/>
          <w:highlight w:val="none"/>
        </w:rPr>
        <w:t xml:space="preserve">第三章  合同文本</w:t>
      </w:r>
      <w:r>
        <w:rPr>
          <w:highlight w:val="none"/>
        </w:rPr>
        <w:tab/>
      </w:r>
      <w:r>
        <w:rPr>
          <w:highlight w:val="none"/>
        </w:rPr>
        <w:fldChar w:fldCharType="begin"/>
      </w:r>
      <w:r>
        <w:rPr>
          <w:highlight w:val="none"/>
        </w:rPr>
        <w:instrText xml:space="preserve"> PAGEREF _Toc5138 \h </w:instrText>
      </w:r>
      <w:r>
        <w:rPr>
          <w:highlight w:val="none"/>
        </w:rPr>
        <w:fldChar w:fldCharType="separate"/>
      </w:r>
      <w:r>
        <w:rPr>
          <w:highlight w:val="none"/>
        </w:rPr>
        <w:t xml:space="preserve">15</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_Toc926 </w:instrText>
      </w:r>
      <w:r>
        <w:rPr>
          <w:rFonts w:hint="eastAsia" w:ascii="黑体" w:hAnsi="Arial" w:eastAsia="黑体"/>
          <w:szCs w:val="21"/>
          <w:highlight w:val="none"/>
        </w:rPr>
        <w:fldChar w:fldCharType="separate"/>
      </w:r>
      <w:r>
        <w:rPr>
          <w:rFonts w:hint="eastAsia" w:ascii="黑体" w:hAnsi="Courier New" w:eastAsia="黑体" w:cs="Courier New"/>
          <w:bCs/>
          <w:szCs w:val="21"/>
          <w:highlight w:val="none"/>
        </w:rPr>
        <w:t xml:space="preserve">第四章 </w:t>
      </w:r>
      <w:r>
        <w:rPr>
          <w:rFonts w:hint="eastAsia" w:ascii="黑体" w:hAnsi="Courier New" w:eastAsia="黑体" w:cs="Courier New"/>
          <w:bCs/>
          <w:szCs w:val="21"/>
          <w:highlight w:val="none"/>
          <w:lang w:val="en-US" w:eastAsia="zh-CN"/>
        </w:rPr>
        <w:t xml:space="preserve"> </w:t>
      </w:r>
      <w:r>
        <w:rPr>
          <w:rFonts w:hint="eastAsia" w:ascii="黑体" w:hAnsi="Courier New" w:eastAsia="黑体" w:cs="Courier New"/>
          <w:bCs/>
          <w:szCs w:val="21"/>
          <w:highlight w:val="none"/>
        </w:rPr>
        <w:t xml:space="preserve">采购需求</w:t>
      </w:r>
      <w:r>
        <w:rPr>
          <w:highlight w:val="none"/>
        </w:rPr>
        <w:tab/>
      </w:r>
      <w:r>
        <w:rPr>
          <w:highlight w:val="none"/>
        </w:rPr>
        <w:fldChar w:fldCharType="begin"/>
      </w:r>
      <w:r>
        <w:rPr>
          <w:highlight w:val="none"/>
        </w:rPr>
        <w:instrText xml:space="preserve"> PAGEREF _Toc926 \h </w:instrText>
      </w:r>
      <w:r>
        <w:rPr>
          <w:highlight w:val="none"/>
        </w:rPr>
        <w:fldChar w:fldCharType="separate"/>
      </w:r>
      <w:r>
        <w:rPr>
          <w:highlight w:val="none"/>
        </w:rPr>
        <w:t xml:space="preserve">17</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_Toc29666 </w:instrText>
      </w:r>
      <w:r>
        <w:rPr>
          <w:rFonts w:hint="eastAsia" w:ascii="黑体" w:hAnsi="Arial" w:eastAsia="黑体"/>
          <w:szCs w:val="21"/>
          <w:highlight w:val="none"/>
        </w:rPr>
        <w:fldChar w:fldCharType="separate"/>
      </w:r>
      <w:r>
        <w:rPr>
          <w:rFonts w:hint="eastAsia" w:ascii="黑体" w:eastAsia="黑体"/>
          <w:bCs/>
          <w:szCs w:val="28"/>
          <w:highlight w:val="none"/>
        </w:rPr>
        <w:t xml:space="preserve">第五章  评标方法与评标标准</w:t>
      </w:r>
      <w:r>
        <w:rPr>
          <w:highlight w:val="none"/>
        </w:rPr>
        <w:tab/>
      </w:r>
      <w:r>
        <w:rPr>
          <w:highlight w:val="none"/>
        </w:rPr>
        <w:fldChar w:fldCharType="begin"/>
      </w:r>
      <w:r>
        <w:rPr>
          <w:highlight w:val="none"/>
        </w:rPr>
        <w:instrText xml:space="preserve"> PAGEREF _Toc29666 \h </w:instrText>
      </w:r>
      <w:r>
        <w:rPr>
          <w:highlight w:val="none"/>
        </w:rPr>
        <w:fldChar w:fldCharType="separate"/>
      </w:r>
      <w:r>
        <w:rPr>
          <w:highlight w:val="none"/>
        </w:rPr>
        <w:t xml:space="preserve">36</w:t>
      </w:r>
      <w:r>
        <w:rPr>
          <w:highlight w:val="none"/>
        </w:rPr>
        <w:fldChar w:fldCharType="end"/>
      </w:r>
      <w:r>
        <w:rPr>
          <w:rFonts w:hint="eastAsia" w:ascii="黑体" w:hAnsi="Arial" w:eastAsia="黑体"/>
          <w:color w:val="000000"/>
          <w:szCs w:val="21"/>
          <w:highlight w:val="none"/>
        </w:rPr>
        <w:fldChar w:fldCharType="end"/>
      </w:r>
      <w:r/>
    </w:p>
    <w:p>
      <w:pPr>
        <w:pStyle w:val="1002"/>
        <w:tabs>
          <w:tab w:val="right" w:pos="8312" w:leader="dot"/>
        </w:tabs>
        <w:rPr>
          <w:highlight w:val="none"/>
        </w:rPr>
      </w:pPr>
      <w:r>
        <w:rPr>
          <w:rFonts w:hint="eastAsia" w:ascii="黑体" w:hAnsi="Arial" w:eastAsia="黑体"/>
          <w:color w:val="000000"/>
          <w:szCs w:val="21"/>
          <w:highlight w:val="none"/>
        </w:rPr>
        <w:fldChar w:fldCharType="begin"/>
      </w:r>
      <w:r>
        <w:rPr>
          <w:rFonts w:hint="eastAsia" w:ascii="黑体" w:hAnsi="Arial" w:eastAsia="黑体"/>
          <w:szCs w:val="21"/>
          <w:highlight w:val="none"/>
        </w:rPr>
        <w:instrText xml:space="preserve"> HYPERLINK \l _Toc1983 </w:instrText>
      </w:r>
      <w:r>
        <w:rPr>
          <w:rFonts w:hint="eastAsia" w:ascii="黑体" w:hAnsi="Arial" w:eastAsia="黑体"/>
          <w:szCs w:val="21"/>
          <w:highlight w:val="none"/>
        </w:rPr>
        <w:fldChar w:fldCharType="separate"/>
      </w:r>
      <w:r>
        <w:rPr>
          <w:rFonts w:hint="eastAsia" w:ascii="黑体" w:eastAsia="黑体"/>
          <w:bCs/>
          <w:szCs w:val="28"/>
          <w:highlight w:val="none"/>
        </w:rPr>
        <w:t xml:space="preserve">第六章  投标文件格式</w:t>
      </w:r>
      <w:r>
        <w:rPr>
          <w:highlight w:val="none"/>
        </w:rPr>
        <w:tab/>
      </w:r>
      <w:r>
        <w:rPr>
          <w:highlight w:val="none"/>
        </w:rPr>
        <w:fldChar w:fldCharType="begin"/>
      </w:r>
      <w:r>
        <w:rPr>
          <w:highlight w:val="none"/>
        </w:rPr>
        <w:instrText xml:space="preserve"> PAGEREF _Toc1983 \h </w:instrText>
      </w:r>
      <w:r>
        <w:rPr>
          <w:highlight w:val="none"/>
        </w:rPr>
        <w:fldChar w:fldCharType="separate"/>
      </w:r>
      <w:r>
        <w:rPr>
          <w:highlight w:val="none"/>
        </w:rPr>
        <w:t xml:space="preserve">40</w:t>
      </w:r>
      <w:r>
        <w:rPr>
          <w:highlight w:val="none"/>
        </w:rPr>
        <w:fldChar w:fldCharType="end"/>
      </w:r>
      <w:r>
        <w:rPr>
          <w:rFonts w:hint="eastAsia" w:ascii="黑体" w:hAnsi="Arial" w:eastAsia="黑体"/>
          <w:color w:val="000000"/>
          <w:szCs w:val="21"/>
          <w:highlight w:val="none"/>
        </w:rPr>
        <w:fldChar w:fldCharType="end"/>
      </w:r>
      <w:r/>
    </w:p>
    <w:p>
      <w:pPr>
        <w:jc w:val="center"/>
        <w:spacing w:line="480" w:lineRule="auto"/>
        <w:rPr>
          <w:rFonts w:hint="eastAsia"/>
          <w:color w:val="000000"/>
          <w:szCs w:val="21"/>
          <w:highlight w:val="none"/>
        </w:rPr>
        <w:outlineLvl w:val="9"/>
      </w:pPr>
      <w:r>
        <w:rPr>
          <w:rFonts w:hint="eastAsia" w:ascii="黑体" w:hAnsi="Arial" w:eastAsia="黑体"/>
          <w:color w:val="000000"/>
          <w:szCs w:val="21"/>
          <w:highlight w:val="none"/>
        </w:rPr>
        <w:fldChar w:fldCharType="end"/>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jc w:val="center"/>
        <w:keepNext/>
        <w:rPr>
          <w:rFonts w:hint="eastAsia" w:ascii="黑体"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rPr>
          <w:rFonts w:hint="eastAsia" w:ascii="黑体" w:eastAsia="黑体"/>
          <w:color w:val="000000"/>
          <w:sz w:val="44"/>
          <w:szCs w:val="44"/>
          <w:highlight w:val="none"/>
        </w:rPr>
      </w:r>
      <w:r/>
    </w:p>
    <w:p>
      <w:pPr>
        <w:jc w:val="center"/>
        <w:keepNext/>
        <w:rPr>
          <w:rFonts w:ascii="黑体" w:eastAsia="黑体"/>
          <w:bCs/>
          <w:color w:val="000000"/>
          <w:sz w:val="44"/>
          <w:szCs w:val="44"/>
          <w:highlight w:val="none"/>
          <w:lang w:val="en-US" w:eastAsia="zh-CN"/>
        </w:rPr>
        <w:outlineLvl w:val="0"/>
      </w:pPr>
      <w:r/>
      <w:bookmarkStart w:id="6" w:name="_Toc10879"/>
      <w:r/>
      <w:bookmarkStart w:id="7" w:name="_Toc5079"/>
      <w:r>
        <w:rPr>
          <w:rFonts w:hint="eastAsia" w:ascii="黑体" w:eastAsia="黑体"/>
          <w:color w:val="000000"/>
          <w:sz w:val="44"/>
          <w:szCs w:val="44"/>
          <w:highlight w:val="none"/>
        </w:rPr>
        <w:t xml:space="preserve">第一章  </w:t>
      </w:r>
      <w:bookmarkEnd w:id="0"/>
      <w:r/>
      <w:bookmarkEnd w:id="6"/>
      <w:r/>
      <w:bookmarkEnd w:id="7"/>
      <w:r>
        <w:rPr>
          <w:rFonts w:hint="eastAsia" w:ascii="黑体" w:eastAsia="黑体"/>
          <w:color w:val="000000"/>
          <w:sz w:val="44"/>
          <w:szCs w:val="44"/>
          <w:highlight w:val="none"/>
          <w:lang w:val="en-US" w:eastAsia="zh-CN"/>
        </w:rPr>
        <w:t xml:space="preserve">招标公告</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区(镇)监测能力提升工程</w:t>
      </w:r>
      <w:r>
        <w:rPr>
          <w:rFonts w:hint="eastAsia" w:ascii="宋体" w:hAnsi="宋体"/>
          <w:color w:val="000000"/>
          <w:sz w:val="24"/>
          <w:szCs w:val="24"/>
          <w:highlight w:val="none"/>
          <w:u w:val="single"/>
          <w:lang w:val="en-US" w:eastAsia="zh-CN"/>
        </w:rPr>
        <w:t xml:space="preserve">JSZC-321283-TZCX-G2026-0005</w:t>
      </w:r>
      <w:r>
        <w:rPr>
          <w:rFonts w:hint="eastAsia" w:ascii="宋体" w:hAnsi="宋体"/>
          <w:color w:val="000000"/>
          <w:sz w:val="24"/>
          <w:szCs w:val="24"/>
          <w:highlight w:val="none"/>
        </w:rPr>
        <w:t xml:space="preserve">招标项目的潜在投标人</w:t>
      </w:r>
      <w:r>
        <w:rPr>
          <w:rFonts w:hint="eastAsia" w:ascii="宋体" w:hAnsi="宋体" w:eastAsia="宋体" w:cs="宋体"/>
          <w:color w:val="000000"/>
          <w:spacing w:val="0"/>
          <w:sz w:val="24"/>
          <w:szCs w:val="24"/>
          <w:highlight w:val="none"/>
          <w:lang w:val="en-US" w:eastAsia="zh-CN"/>
        </w:rPr>
        <w:t xml:space="preserve">应</w:t>
      </w:r>
      <w:r>
        <w:rPr>
          <w:rFonts w:hint="eastAsia" w:ascii="宋体" w:hAnsi="宋体" w:eastAsia="宋体" w:cs="宋体"/>
          <w:color w:val="000000"/>
          <w:spacing w:val="0"/>
          <w:sz w:val="24"/>
          <w:szCs w:val="24"/>
          <w:highlight w:val="none"/>
        </w:rPr>
        <w:t xml:space="preserve">在“苏采云”政府采购一体化平台获取招标</w:t>
      </w:r>
      <w:r>
        <w:rPr>
          <w:rFonts w:hint="eastAsia" w:ascii="宋体" w:hAnsi="宋体" w:eastAsia="宋体" w:cs="宋体"/>
          <w:color w:val="000000"/>
          <w:spacing w:val="0"/>
          <w:sz w:val="24"/>
          <w:szCs w:val="24"/>
          <w:highlight w:val="none"/>
          <w:lang w:eastAsia="zh-CN"/>
        </w:rPr>
        <w:t xml:space="preserve">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lang w:val="en-US" w:eastAsia="zh-CN"/>
        </w:rPr>
        <w:t xml:space="preserve">2026-06-29  </w:t>
      </w:r>
      <w:r>
        <w:rPr>
          <w:rFonts w:hint="eastAsia" w:ascii="宋体" w:hAnsi="宋体"/>
          <w:bCs/>
          <w:color w:val="000000"/>
          <w:sz w:val="24"/>
          <w:szCs w:val="24"/>
          <w:highlight w:val="none"/>
          <w:u w:val="single"/>
          <w:lang w:val="en-US" w:eastAsia="zh-CN"/>
        </w:rPr>
        <w:t xml:space="preserve">14</w:t>
      </w:r>
      <w:r>
        <w:rPr>
          <w:rFonts w:hint="eastAsia" w:ascii="宋体" w:hAnsi="宋体"/>
          <w:bCs/>
          <w:color w:val="000000"/>
          <w:sz w:val="24"/>
          <w:szCs w:val="24"/>
          <w:highlight w:val="none"/>
          <w:u w:val="single"/>
          <w:lang w:val="en-US" w:eastAsia="zh-CN"/>
        </w:rPr>
        <w:t xml:space="preserve">：</w:t>
      </w:r>
      <w:r>
        <w:rPr>
          <w:rFonts w:hint="eastAsia" w:ascii="宋体" w:hAnsi="宋体"/>
          <w:bCs/>
          <w:color w:val="000000"/>
          <w:sz w:val="24"/>
          <w:szCs w:val="24"/>
          <w:highlight w:val="none"/>
          <w:u w:val="single"/>
          <w:lang w:val="en-US" w:eastAsia="zh-CN"/>
        </w:rPr>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none"/>
        </w:rPr>
        <w:t xml:space="preserve">（</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before="156" w:after="156" w:line="400" w:lineRule="exact"/>
        <w:rPr>
          <w:b/>
          <w:bCs/>
          <w:color w:val="000000"/>
          <w:sz w:val="32"/>
          <w:szCs w:val="32"/>
          <w:highlight w:val="none"/>
        </w:rPr>
        <w:outlineLvl w:val="0"/>
      </w:pPr>
      <w:r/>
      <w:bookmarkStart w:id="8" w:name="_Toc35393621"/>
      <w:r/>
      <w:bookmarkStart w:id="9" w:name="_Toc38985263"/>
      <w:r/>
      <w:bookmarkStart w:id="10" w:name="_Toc28359002"/>
      <w:r/>
      <w:bookmarkStart w:id="11" w:name="_Toc25083"/>
      <w:r/>
      <w:bookmarkStart w:id="12" w:name="_Toc28359079"/>
      <w:r/>
      <w:bookmarkStart w:id="13" w:name="_Toc3136"/>
      <w:r/>
      <w:bookmarkStart w:id="14" w:name="_Toc15929"/>
      <w:r/>
      <w:bookmarkStart w:id="15" w:name="_Toc35393790"/>
      <w:r/>
      <w:bookmarkStart w:id="16" w:name="_Hlk24379207"/>
      <w:r>
        <w:rPr>
          <w:rFonts w:hint="eastAsia"/>
          <w:b/>
          <w:bCs/>
          <w:color w:val="000000"/>
          <w:sz w:val="32"/>
          <w:szCs w:val="32"/>
          <w:highlight w:val="none"/>
        </w:rPr>
        <w:t xml:space="preserve">一、项目基本情况</w:t>
      </w:r>
      <w:bookmarkEnd w:id="8"/>
      <w:r/>
      <w:bookmarkEnd w:id="9"/>
      <w:r/>
      <w:bookmarkEnd w:id="10"/>
      <w:r/>
      <w:bookmarkEnd w:id="11"/>
      <w:r/>
      <w:bookmarkEnd w:id="12"/>
      <w:r/>
      <w:bookmarkEnd w:id="13"/>
      <w:r/>
      <w:bookmarkEnd w:id="14"/>
      <w:r/>
      <w:bookmarkEnd w:id="15"/>
      <w:r/>
      <w:r/>
    </w:p>
    <w:p>
      <w:pPr>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JSZC-321283-TZCX-G2026-0005</w:t>
      </w:r>
      <w:r>
        <w:rPr>
          <w:rFonts w:hint="eastAsia" w:ascii="宋体" w:hAnsi="宋体"/>
          <w:color w:val="000000"/>
          <w:sz w:val="24"/>
          <w:szCs w:val="24"/>
          <w:highlight w:val="none"/>
          <w:lang w:val="en-US" w:eastAsia="zh-CN"/>
        </w:rPr>
        <w:t xml:space="preserve">；</w:t>
      </w:r>
      <w:r/>
    </w:p>
    <w:p>
      <w:pPr>
        <w:ind w:firstLine="480"/>
        <w:spacing w:line="4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区(镇)监测能力提升工程；</w:t>
      </w:r>
      <w:bookmarkEnd w:id="16"/>
      <w:r/>
    </w:p>
    <w:p>
      <w:pPr>
        <w:ind w:firstLine="48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预算金额</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162.619371万元；</w:t>
      </w:r>
      <w:r/>
    </w:p>
    <w:p>
      <w:pPr>
        <w:ind w:firstLine="480"/>
        <w:spacing w:line="400" w:lineRule="exact"/>
        <w:rPr>
          <w:rFonts w:hint="eastAsia" w:ascii="宋体" w:hAnsi="宋体"/>
          <w:sz w:val="24"/>
          <w:szCs w:val="24"/>
          <w:highlight w:val="none"/>
          <w:lang w:eastAsia="zh-CN"/>
        </w:rPr>
      </w:pP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154.488402万元</w:t>
      </w:r>
      <w:r>
        <w:rPr>
          <w:rFonts w:hint="eastAsia" w:ascii="宋体" w:hAnsi="宋体"/>
          <w:sz w:val="24"/>
          <w:szCs w:val="24"/>
          <w:highlight w:val="none"/>
          <w:lang w:eastAsia="zh-CN"/>
        </w:rPr>
        <w:t xml:space="preserve">（超过最高限价报价的，作为无效响应处理）；</w:t>
      </w:r>
      <w:r/>
    </w:p>
    <w:p>
      <w:pPr>
        <w:ind w:firstLine="480"/>
        <w:spacing w:line="400" w:lineRule="exact"/>
        <w:rPr>
          <w:rFonts w:hint="eastAsia" w:ascii="宋体" w:hAnsi="宋体"/>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采购方式：公开招标；  </w:t>
      </w:r>
      <w:r/>
    </w:p>
    <w:p>
      <w:pPr>
        <w:ind w:firstLine="480"/>
        <w:spacing w:line="40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lang w:val="en-US" w:eastAsia="zh-CN"/>
        </w:rPr>
        <w:t xml:space="preserve">安装鹰眼监控、存储设备以及配套设施，包括但不限于设备的采购、安装调试、使用培训、售后及质保期服务等内容。</w:t>
      </w:r>
      <w:r>
        <w:rPr>
          <w:rFonts w:hint="eastAsia" w:ascii="宋体" w:hAnsi="宋体" w:cs="宋体"/>
          <w:color w:val="000000"/>
          <w:sz w:val="24"/>
          <w:szCs w:val="24"/>
          <w:highlight w:val="none"/>
        </w:rPr>
        <w:t xml:space="preserve">（详细内容见本招标文件第四章</w:t>
      </w:r>
      <w:r>
        <w:rPr>
          <w:rFonts w:hint="eastAsia" w:ascii="宋体" w:hAnsi="宋体" w:cs="宋体"/>
          <w:color w:val="000000"/>
          <w:sz w:val="24"/>
          <w:szCs w:val="24"/>
          <w:highlight w:val="none"/>
          <w:lang w:val="en-US" w:eastAsia="zh-CN"/>
        </w:rPr>
        <w:t xml:space="preserve">采购需求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p>
    <w:p>
      <w:pPr>
        <w:ind w:firstLine="480"/>
        <w:spacing w:line="400" w:lineRule="exact"/>
        <w:rPr>
          <w:rFonts w:hint="eastAsia" w:ascii="宋体" w:hAnsi="宋体" w:eastAsia="宋体" w:cs="Times New Roman"/>
          <w:sz w:val="24"/>
          <w:szCs w:val="24"/>
          <w:highlight w:val="none"/>
          <w:lang w:val="en-US" w:eastAsia="zh-CN"/>
        </w:rPr>
      </w:pPr>
      <w:r>
        <w:rPr>
          <w:rFonts w:hint="eastAsia" w:ascii="宋体" w:hAnsi="宋体"/>
          <w:color w:val="000000"/>
          <w:sz w:val="24"/>
          <w:szCs w:val="24"/>
          <w:highlight w:val="none"/>
        </w:rPr>
        <w:t xml:space="preserve">合同履行期限：</w:t>
      </w:r>
      <w:r>
        <w:rPr>
          <w:rFonts w:hint="eastAsia" w:ascii="宋体" w:hAnsi="宋体" w:cs="Times New Roman"/>
          <w:sz w:val="24"/>
          <w:szCs w:val="24"/>
          <w:highlight w:val="none"/>
          <w:lang w:val="en-US" w:eastAsia="zh-CN"/>
        </w:rPr>
        <w:t xml:space="preserve">合同签订之日起，120日历天内完成供货安装、调试并交付使用</w:t>
      </w:r>
      <w:r>
        <w:rPr>
          <w:rFonts w:hint="eastAsia" w:ascii="宋体" w:hAnsi="宋体" w:eastAsia="宋体" w:cs="Times New Roman"/>
          <w:sz w:val="24"/>
          <w:szCs w:val="24"/>
          <w:highlight w:val="none"/>
          <w:lang w:val="en-US" w:eastAsia="zh-CN"/>
        </w:rPr>
        <w:t xml:space="preserve">；</w:t>
      </w:r>
      <w:r/>
    </w:p>
    <w:p>
      <w:pPr>
        <w:ind w:firstLine="480"/>
        <w:spacing w:line="400" w:lineRule="exact"/>
        <w:rPr>
          <w:rFonts w:ascii="宋体" w:hAnsi="宋体"/>
          <w:color w:val="000000"/>
          <w:sz w:val="24"/>
          <w:szCs w:val="24"/>
          <w:highlight w:val="none"/>
          <w:lang w:val="en-US" w:eastAsia="zh-CN"/>
        </w:rPr>
      </w:pPr>
      <w:r>
        <w:rPr>
          <w:rFonts w:ascii="宋体" w:hAnsi="宋体"/>
          <w:color w:val="000000"/>
          <w:sz w:val="24"/>
          <w:szCs w:val="24"/>
          <w:highlight w:val="none"/>
          <w:lang w:val="en-US" w:eastAsia="zh-CN"/>
        </w:rPr>
        <w:t xml:space="preserve">本项目</w:t>
      </w:r>
      <w:r>
        <w:rPr>
          <w:rFonts w:hint="eastAsia" w:ascii="宋体" w:hAnsi="宋体"/>
          <w:color w:val="000000"/>
          <w:sz w:val="24"/>
          <w:szCs w:val="24"/>
          <w:highlight w:val="none"/>
          <w:lang w:val="en-US" w:eastAsia="zh-CN"/>
        </w:rPr>
        <w:t xml:space="preserve">（是/否）</w:t>
      </w:r>
      <w:r>
        <w:rPr>
          <w:rFonts w:ascii="宋体" w:hAnsi="宋体"/>
          <w:color w:val="000000"/>
          <w:sz w:val="24"/>
          <w:szCs w:val="24"/>
          <w:highlight w:val="none"/>
          <w:lang w:val="en-US" w:eastAsia="zh-CN"/>
        </w:rPr>
        <w:t xml:space="preserve">接受联合体投标</w:t>
      </w:r>
      <w:r>
        <w:rPr>
          <w:rFonts w:hint="eastAsia" w:ascii="宋体" w:hAnsi="宋体"/>
          <w:color w:val="000000"/>
          <w:sz w:val="24"/>
          <w:szCs w:val="24"/>
          <w:highlight w:val="none"/>
          <w:lang w:val="en-US" w:eastAsia="zh-CN"/>
        </w:rPr>
        <w:t xml:space="preserve">：否</w:t>
      </w:r>
      <w:r>
        <w:rPr>
          <w:rFonts w:ascii="宋体" w:hAnsi="宋体"/>
          <w:color w:val="000000"/>
          <w:sz w:val="24"/>
          <w:szCs w:val="24"/>
          <w:highlight w:val="none"/>
          <w:lang w:val="en-US" w:eastAsia="zh-CN"/>
        </w:rPr>
        <w:t xml:space="preserve">。</w:t>
      </w:r>
      <w:r/>
    </w:p>
    <w:p>
      <w:pPr>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17" w:name="_Toc4973"/>
      <w:r/>
      <w:bookmarkStart w:id="18" w:name="_Toc35393791"/>
      <w:r/>
      <w:bookmarkStart w:id="19" w:name="_Toc16049"/>
      <w:r/>
      <w:bookmarkStart w:id="20" w:name="_Toc27766"/>
      <w:r/>
      <w:bookmarkStart w:id="21" w:name="_Toc28359003"/>
      <w:r/>
      <w:bookmarkStart w:id="22" w:name="_Toc35393622"/>
      <w:r/>
      <w:bookmarkStart w:id="23" w:name="_Toc28359080"/>
      <w:r/>
      <w:bookmarkStart w:id="24" w:name="_Toc38985264"/>
      <w:r>
        <w:rPr>
          <w:rFonts w:hint="eastAsia" w:ascii="Times New Roman" w:hAnsi="Times New Roman" w:eastAsia="宋体" w:cs="Times New Roman"/>
          <w:b/>
          <w:bCs/>
          <w:color w:val="000000"/>
          <w:sz w:val="32"/>
          <w:szCs w:val="32"/>
          <w:highlight w:val="none"/>
        </w:rPr>
        <w:t xml:space="preserve">二、申请人的资格要求</w:t>
      </w:r>
      <w:bookmarkEnd w:id="17"/>
      <w:r/>
      <w:bookmarkEnd w:id="18"/>
      <w:r/>
      <w:bookmarkEnd w:id="19"/>
      <w:r/>
      <w:bookmarkEnd w:id="20"/>
      <w:r/>
      <w:bookmarkEnd w:id="21"/>
      <w:r/>
      <w:bookmarkEnd w:id="22"/>
      <w:r/>
      <w:bookmarkEnd w:id="23"/>
      <w:r/>
      <w:bookmarkEnd w:id="24"/>
      <w:r/>
      <w:r/>
    </w:p>
    <w:p>
      <w:pPr>
        <w:ind w:firstLine="480"/>
        <w:spacing w:line="400" w:lineRule="exact"/>
        <w:rPr>
          <w:rFonts w:hint="eastAsia" w:ascii="宋体" w:hAnsi="宋体" w:eastAsia="宋体" w:cs="宋体"/>
          <w:color w:val="000000"/>
          <w:sz w:val="24"/>
          <w:highlight w:val="none"/>
        </w:rPr>
        <w:outlineLvl w:val="1"/>
      </w:pPr>
      <w:r/>
      <w:bookmarkStart w:id="25" w:name="_Toc24895"/>
      <w:r/>
      <w:bookmarkStart w:id="26" w:name="_Toc38985265"/>
      <w:r/>
      <w:bookmarkStart w:id="27" w:name="_Toc35393792"/>
      <w:r/>
      <w:bookmarkStart w:id="28" w:name="_Toc28359081"/>
      <w:r/>
      <w:bookmarkStart w:id="29" w:name="_Toc35393623"/>
      <w:r/>
      <w:bookmarkStart w:id="30" w:name="_Toc28359004"/>
      <w:r>
        <w:rPr>
          <w:rFonts w:hint="eastAsia" w:ascii="宋体" w:hAnsi="宋体" w:eastAsia="宋体" w:cs="宋体"/>
          <w:color w:val="000000"/>
          <w:sz w:val="24"/>
          <w:highlight w:val="none"/>
        </w:rPr>
        <w:t xml:space="preserve">（一）</w:t>
      </w:r>
      <w:bookmarkEnd w:id="25"/>
      <w:r/>
      <w:bookmarkStart w:id="31" w:name="_Toc30558"/>
      <w:r>
        <w:rPr>
          <w:rFonts w:hint="eastAsia" w:ascii="宋体" w:hAnsi="宋体" w:eastAsia="宋体" w:cs="宋体"/>
          <w:color w:val="000000"/>
          <w:sz w:val="24"/>
          <w:highlight w:val="none"/>
        </w:rPr>
        <w:t xml:space="preserve">满足《中华人民共和国政府采购法》第二十二条的规定：</w:t>
      </w:r>
      <w:r/>
    </w:p>
    <w:p>
      <w:pPr>
        <w:ind w:firstLine="480"/>
        <w:spacing w:line="400" w:lineRule="exact"/>
        <w:rPr>
          <w:rFonts w:hint="eastAsia" w:ascii="宋体" w:hAnsi="宋体"/>
          <w:sz w:val="24"/>
          <w:szCs w:val="24"/>
          <w:highlight w:val="none"/>
        </w:rPr>
        <w:outlineLvl w:val="2"/>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基本资格条件的承诺（根据</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提供的承诺函，内容完整且具有法人及法定代表人的印章）。</w:t>
      </w:r>
      <w:r/>
    </w:p>
    <w:p>
      <w:pPr>
        <w:ind w:firstLine="480"/>
        <w:spacing w:line="400" w:lineRule="exact"/>
        <w:rPr>
          <w:rFonts w:hint="eastAsia" w:ascii="宋体" w:hAnsi="宋体"/>
          <w:sz w:val="24"/>
          <w:szCs w:val="24"/>
          <w:highlight w:val="none"/>
        </w:rPr>
        <w:outlineLvl w:val="1"/>
      </w:pPr>
      <w:r>
        <w:rPr>
          <w:rFonts w:hint="eastAsia" w:ascii="宋体" w:hAnsi="宋体"/>
          <w:sz w:val="24"/>
          <w:szCs w:val="24"/>
          <w:highlight w:val="none"/>
        </w:rPr>
        <w:t xml:space="preserve">（二）落实政府采购政策需满足的资格要求：</w:t>
      </w:r>
      <w:bookmarkEnd w:id="31"/>
      <w:r/>
      <w:bookmarkStart w:id="32" w:name="_Toc111"/>
      <w:r>
        <w:rPr>
          <w:rFonts w:hint="eastAsia" w:ascii="宋体" w:hAnsi="宋体"/>
          <w:sz w:val="24"/>
          <w:szCs w:val="24"/>
          <w:highlight w:val="none"/>
        </w:rPr>
        <w:t xml:space="preserve">本项目为</w:t>
      </w:r>
      <w:r>
        <w:rPr>
          <w:rFonts w:hint="eastAsia" w:ascii="宋体" w:hAnsi="宋体"/>
          <w:sz w:val="24"/>
          <w:szCs w:val="24"/>
          <w:highlight w:val="none"/>
          <w:lang w:eastAsia="zh-CN"/>
        </w:rPr>
        <w:t xml:space="preserve">非</w:t>
      </w:r>
      <w:r>
        <w:rPr>
          <w:rFonts w:hint="eastAsia" w:ascii="宋体" w:hAnsi="宋体"/>
          <w:sz w:val="24"/>
          <w:szCs w:val="24"/>
          <w:highlight w:val="none"/>
        </w:rPr>
        <w:t xml:space="preserve">专门面向中小企业的项目</w:t>
      </w:r>
      <w:r>
        <w:rPr>
          <w:rFonts w:hint="eastAsia" w:ascii="宋体" w:hAnsi="宋体"/>
          <w:sz w:val="24"/>
          <w:szCs w:val="24"/>
          <w:highlight w:val="none"/>
          <w:lang w:eastAsia="zh-CN"/>
        </w:rPr>
        <w:t xml:space="preserve">，本项目属</w:t>
      </w:r>
      <w:r>
        <w:rPr>
          <w:rFonts w:hint="eastAsia" w:ascii="宋体" w:hAnsi="宋体"/>
          <w:sz w:val="24"/>
          <w:szCs w:val="24"/>
          <w:highlight w:val="none"/>
          <w:u w:val="single"/>
          <w:lang w:eastAsia="zh-CN"/>
        </w:rPr>
        <w:t xml:space="preserve">于货物类 </w:t>
      </w:r>
      <w:r>
        <w:rPr>
          <w:rFonts w:hint="eastAsia" w:ascii="宋体" w:hAnsi="宋体"/>
          <w:sz w:val="24"/>
          <w:szCs w:val="24"/>
          <w:highlight w:val="none"/>
          <w:lang w:eastAsia="zh-CN"/>
        </w:rPr>
        <w:t xml:space="preserve">，采购标的对应的中小企业划分标准所属行业:</w:t>
      </w:r>
      <w:r>
        <w:rPr>
          <w:rFonts w:hint="eastAsia" w:ascii="宋体" w:hAnsi="宋体"/>
          <w:sz w:val="24"/>
          <w:szCs w:val="24"/>
          <w:highlight w:val="none"/>
          <w:u w:val="single"/>
          <w:lang w:eastAsia="zh-CN"/>
        </w:rPr>
        <w:t xml:space="preserve">工业</w:t>
      </w:r>
      <w:r>
        <w:rPr>
          <w:rFonts w:hint="eastAsia" w:ascii="宋体" w:hAnsi="宋体"/>
          <w:sz w:val="24"/>
          <w:szCs w:val="24"/>
          <w:highlight w:val="none"/>
          <w:lang w:eastAsia="zh-CN"/>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szCs w:val="24"/>
          <w:highlight w:val="none"/>
        </w:rPr>
        <w:t xml:space="preserve">。</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lang w:eastAsia="zh-CN"/>
        </w:rPr>
        <w:t xml:space="preserve">：</w:t>
      </w:r>
      <w:bookmarkEnd w:id="32"/>
      <w:r>
        <w:rPr>
          <w:rFonts w:hint="eastAsia" w:ascii="宋体" w:hAnsi="宋体" w:eastAsia="宋体" w:cs="宋体"/>
          <w:color w:val="000000"/>
          <w:sz w:val="24"/>
          <w:highlight w:val="none"/>
          <w:lang w:val="en-US" w:eastAsia="zh-CN"/>
        </w:rPr>
        <w:t xml:space="preserve">无。</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（四）参加本次采购活动的投标人不得存在下述情形：</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2.除单一来源采购项目外，为采购项目提供整体设计、规范编制或者项目管理、监理、检测等服务的。</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p>
    <w:p>
      <w:pPr>
        <w:ind w:firstLine="480"/>
        <w:spacing w:line="400" w:lineRule="exact"/>
        <w:rPr>
          <w:rFonts w:ascii="宋体" w:hAnsi="宋体" w:eastAsia="宋体"/>
          <w:color w:val="ff0000"/>
          <w:sz w:val="24"/>
          <w:szCs w:val="24"/>
          <w:highlight w:val="none"/>
          <w:lang w:val="en-US" w:eastAsia="zh-CN"/>
        </w:rPr>
        <w:outlineLvl w:val="1"/>
      </w:pPr>
      <w:r>
        <w:rPr>
          <w:rFonts w:hint="eastAsia" w:ascii="宋体" w:hAnsi="宋体" w:eastAsia="宋体" w:cs="宋体"/>
          <w:color w:val="000000"/>
          <w:sz w:val="24"/>
          <w:highlight w:val="none"/>
          <w:lang w:val="en-US" w:eastAsia="zh-CN"/>
        </w:rPr>
        <w:t xml:space="preserve">4.法人的分支机构不得参加政府采购活动（银行、保险、石油石化、电力、电信等有行业特殊情况的除外）。</w:t>
      </w:r>
      <w:r/>
    </w:p>
    <w:p>
      <w:pPr>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33" w:name="_Toc9412"/>
      <w:r/>
      <w:bookmarkStart w:id="34" w:name="_Toc20406"/>
      <w:r/>
      <w:bookmarkStart w:id="35" w:name="_Toc6541"/>
      <w:r>
        <w:rPr>
          <w:rFonts w:hint="eastAsia" w:ascii="Times New Roman" w:hAnsi="Times New Roman" w:eastAsia="宋体" w:cs="Times New Roman"/>
          <w:b/>
          <w:bCs/>
          <w:color w:val="000000"/>
          <w:sz w:val="32"/>
          <w:szCs w:val="32"/>
          <w:highlight w:val="none"/>
        </w:rPr>
        <w:t xml:space="preserve">三、获取招标文件</w:t>
      </w:r>
      <w:bookmarkEnd w:id="33"/>
      <w:r/>
      <w:bookmarkEnd w:id="34"/>
      <w:r/>
      <w:bookmarkEnd w:id="35"/>
      <w:r/>
      <w:r/>
    </w:p>
    <w:p>
      <w:pPr>
        <w:ind w:firstLine="540"/>
        <w:spacing w:line="360" w:lineRule="auto"/>
        <w:rPr>
          <w:rFonts w:hint="eastAsia" w:ascii="宋体" w:hAnsi="宋体" w:cs="宋体"/>
          <w:color w:val="000000"/>
          <w:sz w:val="24"/>
          <w:szCs w:val="24"/>
          <w:highlight w:val="none"/>
          <w:u w:val="none"/>
        </w:rPr>
      </w:pPr>
      <w:r/>
      <w:bookmarkStart w:id="36" w:name="_Toc35393801"/>
      <w:r/>
      <w:bookmarkStart w:id="37" w:name="_Toc28359092"/>
      <w:r/>
      <w:bookmarkStart w:id="38" w:name="_Toc35393632"/>
      <w:r/>
      <w:bookmarkStart w:id="39" w:name="_Toc28359015"/>
      <w:r>
        <w:rPr>
          <w:rFonts w:hint="eastAsia" w:ascii="宋体" w:hAnsi="宋体" w:cs="宋体"/>
          <w:color w:val="000000"/>
          <w:sz w:val="24"/>
          <w:szCs w:val="24"/>
          <w:highlight w:val="none"/>
          <w:u w:val="none"/>
        </w:rPr>
        <w:t xml:space="preserve">时间：自公告发布之日起5个工作日</w:t>
      </w:r>
      <w:r/>
    </w:p>
    <w:p>
      <w:pPr>
        <w:ind w:firstLine="54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地点：“苏采云”政府采购一体化平台 </w:t>
      </w:r>
      <w:r/>
    </w:p>
    <w:p>
      <w:pPr>
        <w:ind w:firstLine="54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方式：线上获取。</w:t>
      </w:r>
      <w:r/>
    </w:p>
    <w:p>
      <w:pPr>
        <w:ind w:firstLine="540"/>
        <w:spacing w:line="360"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售价：0.00元</w:t>
      </w:r>
      <w:bookmarkEnd w:id="36"/>
      <w:r/>
      <w:bookmarkEnd w:id="37"/>
      <w:r/>
      <w:bookmarkEnd w:id="38"/>
      <w:r/>
      <w:bookmarkEnd w:id="39"/>
      <w:r/>
      <w:bookmarkEnd w:id="26"/>
      <w:bookmarkEnd w:id="27"/>
      <w:bookmarkEnd w:id="28"/>
      <w:bookmarkEnd w:id="29"/>
      <w:bookmarkEnd w:id="30"/>
      <w:r/>
    </w:p>
    <w:p>
      <w:pPr>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40" w:name="_Toc28359082"/>
      <w:r/>
      <w:bookmarkStart w:id="41" w:name="_Toc28359005"/>
      <w:r/>
      <w:bookmarkStart w:id="42" w:name="_Toc31841"/>
      <w:r/>
      <w:bookmarkStart w:id="43" w:name="_Toc7602"/>
      <w:r/>
      <w:bookmarkStart w:id="44" w:name="_Toc38985266"/>
      <w:r/>
      <w:bookmarkStart w:id="45" w:name="_Toc35393624"/>
      <w:r/>
      <w:bookmarkStart w:id="46" w:name="_Toc35393793"/>
      <w:r/>
      <w:bookmarkStart w:id="47" w:name="_Toc24628"/>
      <w:r>
        <w:rPr>
          <w:rFonts w:hint="eastAsia" w:ascii="Times New Roman" w:hAnsi="Times New Roman" w:eastAsia="宋体" w:cs="Times New Roman"/>
          <w:b/>
          <w:bCs/>
          <w:color w:val="000000"/>
          <w:sz w:val="32"/>
          <w:szCs w:val="32"/>
          <w:highlight w:val="none"/>
        </w:rPr>
        <w:t xml:space="preserve">四、提交投标文件</w:t>
      </w:r>
      <w:bookmarkEnd w:id="40"/>
      <w:r/>
      <w:bookmarkEnd w:id="41"/>
      <w:r>
        <w:rPr>
          <w:rFonts w:hint="eastAsia" w:ascii="Times New Roman" w:hAnsi="Times New Roman" w:eastAsia="宋体" w:cs="Times New Roman"/>
          <w:b/>
          <w:bCs/>
          <w:color w:val="000000"/>
          <w:sz w:val="32"/>
          <w:szCs w:val="32"/>
          <w:highlight w:val="none"/>
        </w:rPr>
        <w:t xml:space="preserve">截止时间、开标时间和地点</w:t>
      </w:r>
      <w:bookmarkEnd w:id="42"/>
      <w:r/>
      <w:bookmarkEnd w:id="43"/>
      <w:r/>
      <w:bookmarkEnd w:id="44"/>
      <w:r/>
      <w:bookmarkEnd w:id="45"/>
      <w:r/>
      <w:bookmarkEnd w:id="46"/>
      <w:r/>
      <w:bookmarkEnd w:id="47"/>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eastAsia="zh-CN"/>
        </w:rPr>
        <w:t xml:space="preserve">2026</w:t>
      </w:r>
      <w:r>
        <w:rPr>
          <w:rFonts w:hint="eastAsia" w:ascii="宋体" w:hAnsi="宋体"/>
          <w:sz w:val="24"/>
          <w:szCs w:val="24"/>
          <w:highlight w:val="none"/>
          <w:lang w:val="en-US" w:eastAsia="zh-CN"/>
        </w:rPr>
        <w:t xml:space="preserve">-06-29  14</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0</w:t>
      </w:r>
      <w:r>
        <w:rPr>
          <w:rFonts w:hint="eastAsia" w:ascii="宋体" w:hAnsi="宋体"/>
          <w:sz w:val="24"/>
          <w:szCs w:val="24"/>
          <w:highlight w:val="none"/>
        </w:rPr>
        <w:t xml:space="preserve">（北京时间）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地点：“苏采云”系统“开标大厅”</w:t>
      </w:r>
      <w:r/>
    </w:p>
    <w:p>
      <w:pPr>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48" w:name="_Toc21054"/>
      <w:r/>
      <w:bookmarkStart w:id="49" w:name="_Toc35393794"/>
      <w:r/>
      <w:bookmarkStart w:id="50" w:name="_Toc38985267"/>
      <w:r/>
      <w:bookmarkStart w:id="51" w:name="_Toc28359084"/>
      <w:r/>
      <w:bookmarkStart w:id="52" w:name="_Toc28359007"/>
      <w:r/>
      <w:bookmarkStart w:id="53" w:name="_Toc29512"/>
      <w:r/>
      <w:bookmarkStart w:id="54" w:name="_Toc35393625"/>
      <w:r/>
      <w:bookmarkStart w:id="55" w:name="_Toc7543"/>
      <w:r>
        <w:rPr>
          <w:rFonts w:hint="eastAsia" w:ascii="Times New Roman" w:hAnsi="Times New Roman" w:eastAsia="宋体" w:cs="Times New Roman"/>
          <w:b/>
          <w:bCs/>
          <w:color w:val="000000"/>
          <w:sz w:val="32"/>
          <w:szCs w:val="32"/>
          <w:highlight w:val="none"/>
        </w:rPr>
        <w:t xml:space="preserve">五、公告期限</w:t>
      </w:r>
      <w:bookmarkEnd w:id="48"/>
      <w:r/>
      <w:bookmarkEnd w:id="49"/>
      <w:r/>
      <w:bookmarkEnd w:id="50"/>
      <w:r/>
      <w:bookmarkEnd w:id="51"/>
      <w:r/>
      <w:bookmarkEnd w:id="52"/>
      <w:r/>
      <w:bookmarkEnd w:id="53"/>
      <w:r/>
      <w:bookmarkEnd w:id="54"/>
      <w:r/>
      <w:bookmarkEnd w:id="55"/>
      <w:r/>
      <w:r/>
    </w:p>
    <w:p>
      <w:pPr>
        <w:ind w:firstLine="480"/>
        <w:rPr>
          <w:rFonts w:hint="eastAsia" w:ascii="宋体" w:hAnsi="宋体" w:cs="宋体"/>
          <w:color w:val="000000"/>
          <w:sz w:val="24"/>
          <w:szCs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pacing w:val="0"/>
          <w:sz w:val="24"/>
          <w:szCs w:val="24"/>
          <w:highlight w:val="none"/>
        </w:rPr>
        <w:t xml:space="preserve">。</w:t>
      </w:r>
      <w:r/>
    </w:p>
    <w:p>
      <w:pPr>
        <w:ind w:firstLine="496"/>
        <w:keepLines/>
        <w:keepNext/>
        <w:spacing w:before="156" w:after="156" w:line="400" w:lineRule="exact"/>
        <w:rPr>
          <w:rFonts w:hint="eastAsia" w:ascii="Times New Roman" w:hAnsi="Times New Roman" w:eastAsia="宋体" w:cs="Times New Roman"/>
          <w:b/>
          <w:bCs/>
          <w:color w:val="000000"/>
          <w:sz w:val="32"/>
          <w:szCs w:val="32"/>
          <w:highlight w:val="none"/>
        </w:rPr>
        <w:outlineLvl w:val="0"/>
      </w:pPr>
      <w:r/>
      <w:bookmarkStart w:id="56" w:name="_Toc18813"/>
      <w:r/>
      <w:bookmarkStart w:id="57" w:name="_Toc38985268"/>
      <w:r/>
      <w:bookmarkStart w:id="58" w:name="_Toc31672"/>
      <w:r/>
      <w:bookmarkStart w:id="59" w:name="_Toc21139"/>
      <w:r/>
      <w:bookmarkStart w:id="60" w:name="_Toc35393795"/>
      <w:r/>
      <w:bookmarkStart w:id="61" w:name="_Toc35393626"/>
      <w:r>
        <w:rPr>
          <w:rFonts w:hint="eastAsia" w:ascii="Times New Roman" w:hAnsi="Times New Roman" w:eastAsia="宋体" w:cs="Times New Roman"/>
          <w:b/>
          <w:bCs/>
          <w:color w:val="000000"/>
          <w:sz w:val="32"/>
          <w:szCs w:val="32"/>
          <w:highlight w:val="none"/>
        </w:rPr>
        <w:t xml:space="preserve">六、其他补充事宜</w:t>
      </w:r>
      <w:bookmarkEnd w:id="56"/>
      <w:r/>
      <w:bookmarkEnd w:id="57"/>
      <w:r/>
      <w:bookmarkEnd w:id="58"/>
      <w:r/>
      <w:bookmarkEnd w:id="59"/>
      <w:r/>
      <w:bookmarkEnd w:id="60"/>
      <w:r/>
      <w:bookmarkEnd w:id="61"/>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bookmarkStart w:id="62" w:name="_Toc28359085"/>
      <w:r/>
      <w:bookmarkStart w:id="63" w:name="_Toc35393627"/>
      <w:r/>
      <w:bookmarkStart w:id="64" w:name="_Toc35393796"/>
      <w:r/>
      <w:bookmarkStart w:id="65" w:name="_Toc28359008"/>
      <w:r/>
      <w:bookmarkStart w:id="66" w:name="_Toc38985269"/>
      <w:r>
        <w:rPr>
          <w:rFonts w:hint="eastAsia" w:ascii="宋体" w:hAnsi="宋体" w:eastAsia="宋体" w:cs="宋体"/>
          <w:color w:val="000000"/>
          <w:sz w:val="24"/>
          <w:szCs w:val="24"/>
          <w:highlight w:val="none"/>
          <w:u w:val="none"/>
        </w:rPr>
        <w:t xml:space="preserve">1.投标保证金：无。</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2.公告发布媒介：江苏政府采购网（www.ccgp-jiangsu.gov.cn）</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000000"/>
          <w:sz w:val="24"/>
          <w:szCs w:val="24"/>
          <w:highlight w:val="none"/>
          <w:u w:val="none"/>
        </w:rPr>
        <w:t xml:space="preserve">投标人</w:t>
      </w:r>
      <w:r>
        <w:rPr>
          <w:rFonts w:hint="eastAsia" w:ascii="宋体" w:hAnsi="宋体" w:eastAsia="宋体" w:cs="宋体"/>
          <w:color w:val="000000"/>
          <w:sz w:val="24"/>
          <w:szCs w:val="24"/>
          <w:highlight w:val="none"/>
          <w:u w:val="none"/>
          <w:lang w:val="en-US" w:eastAsia="zh-CN"/>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4</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rPr>
        <w:t xml:space="preserve">投标人</w:t>
      </w:r>
      <w:r>
        <w:rPr>
          <w:rFonts w:hint="eastAsia" w:ascii="宋体" w:hAnsi="宋体" w:eastAsia="宋体" w:cs="宋体"/>
          <w:color w:val="000000"/>
          <w:sz w:val="24"/>
          <w:szCs w:val="24"/>
          <w:highlight w:val="none"/>
          <w:u w:val="none"/>
          <w:lang w:val="en-US" w:eastAsia="zh-CN"/>
        </w:rPr>
        <w:t xml:space="preserve">对于投标产品的包装应按照“财办库〔2020〕123号《关于印发《商品包装政府采购需求标准（试行）》、《快递包装政府采购需求标准（试行）》的通知》”执行。</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rPr>
        <w:t xml:space="preserve">注意事项：</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（1）潜在投标人登录“江苏省政府采购管理交易系统（苏采云）”须持经注册的CA证书。未注册、领取CA和办理电子签章的潜在投标人，请至泰州市高港区泰州大道188号</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中国医药城会展交易中心W3馆西南角</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公共资源交易大厅政务CA窗口办理，电话：0523-81568158。</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（3）有关本次招标的事项若存在变动或修改，敬请及时关注“江苏政府采购网”发布的更正公告。</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如潜在投标人未按上述要求操作，将自行承担所产生的风险。</w:t>
      </w:r>
      <w:r/>
    </w:p>
    <w:p>
      <w:pPr>
        <w:ind w:firstLine="496"/>
        <w:keepLines/>
        <w:keepNext/>
        <w:spacing w:before="156" w:after="156" w:line="400" w:lineRule="exact"/>
        <w:rPr>
          <w:b/>
          <w:bCs/>
          <w:color w:val="000000"/>
          <w:sz w:val="32"/>
          <w:szCs w:val="32"/>
          <w:highlight w:val="none"/>
        </w:rPr>
        <w:outlineLvl w:val="0"/>
      </w:pPr>
      <w:r/>
      <w:bookmarkStart w:id="67" w:name="_Toc28937"/>
      <w:r/>
      <w:bookmarkStart w:id="68" w:name="_Toc521"/>
      <w:r/>
      <w:bookmarkStart w:id="69" w:name="_Toc5016"/>
      <w:r>
        <w:rPr>
          <w:rFonts w:hint="eastAsia"/>
          <w:b/>
          <w:bCs/>
          <w:color w:val="000000"/>
          <w:sz w:val="32"/>
          <w:szCs w:val="32"/>
          <w:highlight w:val="none"/>
        </w:rPr>
        <w:t xml:space="preserve">七、本次招标联系方式</w:t>
      </w:r>
      <w:bookmarkEnd w:id="62"/>
      <w:r/>
      <w:bookmarkEnd w:id="63"/>
      <w:r/>
      <w:bookmarkEnd w:id="64"/>
      <w:r/>
      <w:bookmarkEnd w:id="65"/>
      <w:r/>
      <w:bookmarkEnd w:id="66"/>
      <w:r/>
      <w:bookmarkEnd w:id="67"/>
      <w:r/>
      <w:bookmarkEnd w:id="68"/>
      <w:r/>
      <w:bookmarkEnd w:id="69"/>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bookmarkStart w:id="70" w:name="_Toc6704"/>
      <w:r>
        <w:rPr>
          <w:rFonts w:hint="eastAsia" w:ascii="宋体" w:hAnsi="宋体" w:eastAsia="宋体" w:cs="宋体"/>
          <w:color w:val="000000"/>
          <w:sz w:val="24"/>
          <w:szCs w:val="24"/>
          <w:highlight w:val="none"/>
          <w:u w:val="none"/>
        </w:rPr>
        <w:t xml:space="preserve">1.采购人信息</w:t>
      </w:r>
      <w:bookmarkEnd w:id="70"/>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cs="宋体"/>
          <w:color w:val="000000"/>
          <w:sz w:val="24"/>
          <w:szCs w:val="24"/>
          <w:highlight w:val="none"/>
          <w:u w:val="none"/>
          <w:lang w:eastAsia="zh-CN"/>
        </w:rPr>
        <w:t xml:space="preserve">单位</w:t>
      </w:r>
      <w:r>
        <w:rPr>
          <w:rFonts w:hint="eastAsia" w:ascii="宋体" w:hAnsi="宋体" w:eastAsia="宋体" w:cs="宋体"/>
          <w:color w:val="000000"/>
          <w:sz w:val="24"/>
          <w:szCs w:val="24"/>
          <w:highlight w:val="none"/>
          <w:u w:val="none"/>
        </w:rPr>
        <w:t xml:space="preserve">名称：</w:t>
      </w:r>
      <w:r>
        <w:rPr>
          <w:rFonts w:hint="eastAsia" w:ascii="宋体" w:hAnsi="宋体" w:cs="宋体"/>
          <w:color w:val="000000"/>
          <w:sz w:val="24"/>
          <w:szCs w:val="24"/>
          <w:highlight w:val="none"/>
          <w:u w:val="none"/>
          <w:lang w:eastAsia="zh-CN"/>
        </w:rPr>
        <w:t xml:space="preserve">江苏省泰兴经济开发区管理委员会</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eastAsia="zh-CN"/>
        </w:rPr>
        <w:t xml:space="preserve">单位</w:t>
      </w:r>
      <w:r>
        <w:rPr>
          <w:rFonts w:hint="eastAsia" w:ascii="宋体" w:hAnsi="宋体" w:eastAsia="宋体" w:cs="宋体"/>
          <w:color w:val="000000"/>
          <w:sz w:val="24"/>
          <w:szCs w:val="24"/>
          <w:highlight w:val="none"/>
          <w:u w:val="none"/>
        </w:rPr>
        <w:t xml:space="preserve">地址：泰兴市</w:t>
      </w:r>
      <w:r>
        <w:rPr>
          <w:rFonts w:hint="eastAsia" w:ascii="宋体" w:hAnsi="宋体" w:cs="宋体"/>
          <w:color w:val="000000"/>
          <w:sz w:val="24"/>
          <w:szCs w:val="24"/>
          <w:highlight w:val="none"/>
          <w:u w:val="none"/>
          <w:lang w:eastAsia="zh-CN"/>
        </w:rPr>
        <w:t xml:space="preserve">福泰</w:t>
      </w:r>
      <w:r>
        <w:rPr>
          <w:rFonts w:hint="eastAsia" w:ascii="宋体" w:hAnsi="宋体" w:eastAsia="宋体" w:cs="宋体"/>
          <w:color w:val="000000"/>
          <w:sz w:val="24"/>
          <w:szCs w:val="24"/>
          <w:highlight w:val="none"/>
          <w:u w:val="none"/>
        </w:rPr>
        <w:t xml:space="preserve">路</w:t>
      </w: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号</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联系人：</w:t>
      </w:r>
      <w:r>
        <w:rPr>
          <w:rFonts w:hint="eastAsia" w:ascii="宋体" w:hAnsi="宋体" w:cs="宋体"/>
          <w:color w:val="000000"/>
          <w:sz w:val="24"/>
          <w:szCs w:val="24"/>
          <w:highlight w:val="none"/>
          <w:u w:val="none"/>
          <w:lang w:val="en-US" w:eastAsia="zh-CN"/>
        </w:rPr>
        <w:t xml:space="preserve"> 王伟</w:t>
      </w:r>
      <w:r/>
    </w:p>
    <w:p>
      <w:pPr>
        <w:ind w:firstLine="539"/>
        <w:keepLines w:val="0"/>
        <w:keepNext w:val="0"/>
        <w:pageBreakBefore w:val="0"/>
        <w:spacing w:line="400" w:lineRule="exact"/>
        <w:widowControl w:val="off"/>
        <w:rPr>
          <w:rFonts w:hint="default"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rPr>
        <w:t xml:space="preserve">联系电话</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0523-87652119</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rPr>
      </w:pPr>
      <w:r/>
      <w:bookmarkStart w:id="71" w:name="_Toc10590"/>
      <w:r>
        <w:rPr>
          <w:rFonts w:hint="eastAsia" w:ascii="宋体" w:hAnsi="宋体" w:eastAsia="宋体" w:cs="宋体"/>
          <w:color w:val="000000"/>
          <w:sz w:val="24"/>
          <w:szCs w:val="24"/>
          <w:highlight w:val="none"/>
          <w:u w:val="none"/>
        </w:rPr>
        <w:t xml:space="preserve">2.采购代理机构信息</w:t>
      </w:r>
      <w:bookmarkEnd w:id="71"/>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bookmarkStart w:id="72" w:name="_Toc120614211"/>
      <w:r>
        <w:rPr>
          <w:rFonts w:hint="eastAsia" w:ascii="宋体" w:hAnsi="宋体" w:eastAsia="宋体" w:cs="宋体"/>
          <w:color w:val="000000"/>
          <w:sz w:val="24"/>
          <w:szCs w:val="24"/>
          <w:highlight w:val="none"/>
          <w:u w:val="none"/>
          <w:lang w:eastAsia="zh-CN"/>
        </w:rPr>
        <w:t xml:space="preserve">单位名称：泰州诚兴项目管理有限公司</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单位地址：泰兴市城东高新区戴王路</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联系人：蒋鹏</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联系电话：</w:t>
      </w:r>
      <w:r>
        <w:rPr>
          <w:rFonts w:hint="eastAsia" w:ascii="宋体" w:hAnsi="宋体" w:cs="宋体"/>
          <w:color w:val="000000"/>
          <w:sz w:val="24"/>
          <w:szCs w:val="24"/>
          <w:highlight w:val="none"/>
          <w:u w:val="none"/>
          <w:lang w:val="en-US" w:eastAsia="zh-CN"/>
        </w:rPr>
        <w:t xml:space="preserve">15061075357</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3.</w:t>
      </w:r>
      <w:r>
        <w:rPr>
          <w:rFonts w:hint="eastAsia" w:ascii="宋体" w:hAnsi="宋体" w:eastAsia="宋体" w:cs="宋体"/>
          <w:color w:val="000000"/>
          <w:sz w:val="24"/>
          <w:szCs w:val="24"/>
          <w:highlight w:val="none"/>
          <w:u w:val="none"/>
          <w:lang w:val="zh-CN" w:eastAsia="zh-CN"/>
        </w:rPr>
        <w:t xml:space="preserve">项目联系方式</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eastAsia="zh-CN"/>
        </w:rPr>
        <w:t xml:space="preserve">  </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zh-CN" w:eastAsia="zh-CN"/>
        </w:rPr>
        <w:t xml:space="preserve">项目联系人：蒋鹏</w:t>
      </w:r>
      <w:r>
        <w:rPr>
          <w:rFonts w:hint="eastAsia" w:ascii="宋体" w:hAnsi="宋体" w:eastAsia="宋体" w:cs="宋体"/>
          <w:color w:val="000000"/>
          <w:sz w:val="24"/>
          <w:szCs w:val="24"/>
          <w:highlight w:val="none"/>
          <w:u w:val="none"/>
          <w:lang w:val="en-US" w:eastAsia="zh-CN"/>
        </w:rPr>
        <w:t xml:space="preserve"> </w:t>
      </w:r>
      <w:r/>
    </w:p>
    <w:p>
      <w:pPr>
        <w:ind w:firstLine="539"/>
        <w:keepLines w:val="0"/>
        <w:keepNext w:val="0"/>
        <w:pageBreakBefore w:val="0"/>
        <w:spacing w:line="40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zh-CN" w:eastAsia="zh-CN"/>
        </w:rPr>
        <w:t xml:space="preserve">电</w:t>
      </w:r>
      <w:r>
        <w:rPr>
          <w:rFonts w:hint="eastAsia" w:ascii="宋体" w:hAnsi="宋体" w:eastAsia="宋体" w:cs="宋体"/>
          <w:color w:val="000000"/>
          <w:sz w:val="24"/>
          <w:szCs w:val="24"/>
          <w:highlight w:val="none"/>
          <w:u w:val="none"/>
          <w:lang w:val="zh-CN" w:eastAsia="zh-CN"/>
        </w:rPr>
        <w:tab/>
      </w:r>
      <w:r>
        <w:rPr>
          <w:rFonts w:hint="eastAsia" w:ascii="宋体" w:hAnsi="宋体" w:eastAsia="宋体" w:cs="宋体"/>
          <w:color w:val="000000"/>
          <w:sz w:val="24"/>
          <w:szCs w:val="24"/>
          <w:highlight w:val="none"/>
          <w:u w:val="none"/>
          <w:lang w:val="zh-CN" w:eastAsia="zh-CN"/>
        </w:rPr>
        <w:t xml:space="preserve">话：</w:t>
      </w:r>
      <w:r>
        <w:rPr>
          <w:rFonts w:hint="eastAsia" w:ascii="宋体" w:hAnsi="宋体" w:cs="宋体"/>
          <w:color w:val="000000"/>
          <w:sz w:val="24"/>
          <w:szCs w:val="24"/>
          <w:highlight w:val="none"/>
          <w:u w:val="none"/>
          <w:lang w:val="en-US" w:eastAsia="zh-CN"/>
        </w:rPr>
        <w:t xml:space="preserve">15061075357</w:t>
      </w:r>
      <w:r/>
    </w:p>
    <w:p>
      <w:pPr>
        <w:ind w:firstLine="2420"/>
        <w:keepLines/>
        <w:keepNext/>
        <w:spacing w:before="260" w:after="260" w:line="416" w:lineRule="auto"/>
        <w:rPr>
          <w:rFonts w:hint="eastAsia" w:ascii="黑体" w:hAnsi="Arial" w:eastAsia="黑体" w:cs="Arial"/>
          <w:b/>
          <w:bCs/>
          <w:color w:val="000000"/>
          <w:sz w:val="44"/>
          <w:szCs w:val="44"/>
          <w:highlight w:val="none"/>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outlineLvl w:val="9"/>
      </w:pPr>
      <w:r>
        <w:rPr>
          <w:rFonts w:hint="eastAsia" w:ascii="黑体" w:hAnsi="Arial" w:eastAsia="黑体" w:cs="Arial"/>
          <w:b/>
          <w:bCs/>
          <w:color w:val="000000"/>
          <w:sz w:val="44"/>
          <w:szCs w:val="44"/>
          <w:highlight w:val="none"/>
        </w:rPr>
      </w:r>
      <w:r/>
    </w:p>
    <w:p>
      <w:pPr>
        <w:ind w:firstLine="2420"/>
        <w:keepLines/>
        <w:keepNext/>
        <w:spacing w:before="260" w:after="260" w:line="416" w:lineRule="auto"/>
        <w:rPr>
          <w:rFonts w:hint="eastAsia" w:ascii="黑体" w:hAnsi="Arial" w:eastAsia="黑体" w:cs="Arial"/>
          <w:color w:val="000000"/>
          <w:sz w:val="44"/>
          <w:szCs w:val="44"/>
          <w:highlight w:val="none"/>
        </w:rPr>
        <w:outlineLvl w:val="0"/>
      </w:pPr>
      <w:r/>
      <w:bookmarkStart w:id="73" w:name="_Toc31069"/>
      <w:r/>
      <w:bookmarkStart w:id="74" w:name="_Toc6921"/>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72"/>
      <w:r/>
      <w:bookmarkStart w:id="75" w:name="_Toc120614213"/>
      <w:r/>
      <w:bookmarkStart w:id="76" w:name="_Toc16938518"/>
      <w:r/>
      <w:bookmarkStart w:id="77" w:name="_Toc20823274"/>
      <w:r/>
      <w:bookmarkStart w:id="78" w:name="_Toc513029202"/>
      <w:r>
        <w:rPr>
          <w:rFonts w:hint="eastAsia" w:ascii="黑体" w:hAnsi="Arial" w:eastAsia="黑体" w:cs="Arial"/>
          <w:b/>
          <w:bCs/>
          <w:color w:val="000000"/>
          <w:sz w:val="44"/>
          <w:szCs w:val="44"/>
          <w:highlight w:val="none"/>
        </w:rPr>
        <w:t xml:space="preserve">投标人须知</w:t>
      </w:r>
      <w:bookmarkEnd w:id="73"/>
      <w:r/>
      <w:bookmarkEnd w:id="74"/>
      <w:r/>
      <w:bookmarkEnd w:id="75"/>
      <w:r/>
      <w:bookmarkEnd w:id="76"/>
      <w:r/>
      <w:bookmarkEnd w:id="77"/>
      <w:r/>
      <w:bookmarkEnd w:id="78"/>
      <w:r/>
      <w:r/>
    </w:p>
    <w:p>
      <w:pPr>
        <w:ind w:firstLine="496"/>
        <w:keepLines/>
        <w:keepNext/>
        <w:spacing w:before="156" w:after="156" w:line="400" w:lineRule="exact"/>
        <w:rPr>
          <w:rFonts w:hint="eastAsia"/>
          <w:b/>
          <w:bCs/>
          <w:color w:val="000000"/>
          <w:sz w:val="32"/>
          <w:szCs w:val="32"/>
          <w:highlight w:val="none"/>
        </w:rPr>
        <w:outlineLvl w:val="0"/>
      </w:pPr>
      <w:r/>
      <w:bookmarkStart w:id="79" w:name="_Toc16938519"/>
      <w:r/>
      <w:bookmarkStart w:id="80" w:name="_Toc32595"/>
      <w:r/>
      <w:bookmarkStart w:id="81" w:name="_Toc28579"/>
      <w:r/>
      <w:bookmarkStart w:id="82" w:name="_Toc20823275"/>
      <w:r/>
      <w:bookmarkStart w:id="83" w:name="_Toc120614214"/>
      <w:r/>
      <w:bookmarkStart w:id="84" w:name="_Toc513029203"/>
      <w:r/>
      <w:bookmarkStart w:id="85" w:name="_Toc7753"/>
      <w:r>
        <w:rPr>
          <w:rFonts w:hint="eastAsia"/>
          <w:b/>
          <w:bCs/>
          <w:color w:val="000000"/>
          <w:sz w:val="32"/>
          <w:szCs w:val="32"/>
          <w:highlight w:val="none"/>
        </w:rPr>
        <w:t xml:space="preserve">一、总则</w:t>
      </w:r>
      <w:bookmarkEnd w:id="79"/>
      <w:r/>
      <w:bookmarkEnd w:id="80"/>
      <w:r/>
      <w:bookmarkEnd w:id="81"/>
      <w:r/>
      <w:bookmarkEnd w:id="82"/>
      <w:r/>
      <w:bookmarkEnd w:id="83"/>
      <w:r/>
      <w:bookmarkEnd w:id="84"/>
      <w:r/>
      <w:bookmarkEnd w:id="85"/>
      <w:r/>
      <w:r/>
    </w:p>
    <w:p>
      <w:pPr>
        <w:ind w:firstLine="420"/>
        <w:keepLines/>
        <w:keepNext/>
        <w:spacing w:line="400" w:lineRule="exact"/>
        <w:rPr>
          <w:rFonts w:hint="eastAsia" w:ascii="Arial" w:hAnsi="Arial" w:eastAsia="黑体" w:cs="Arial"/>
          <w:color w:val="000000"/>
          <w:sz w:val="28"/>
          <w:szCs w:val="28"/>
          <w:highlight w:val="none"/>
        </w:rPr>
        <w:outlineLvl w:val="1"/>
      </w:pPr>
      <w:r/>
      <w:bookmarkStart w:id="86" w:name="_Hlt16619475"/>
      <w:r/>
      <w:bookmarkEnd w:id="86"/>
      <w:r/>
      <w:bookmarkStart w:id="87" w:name="_Toc458694821"/>
      <w:r/>
      <w:bookmarkStart w:id="88" w:name="_Toc8730"/>
      <w:r/>
      <w:bookmarkStart w:id="89" w:name="_Toc513029204"/>
      <w:r/>
      <w:bookmarkStart w:id="90" w:name="_Toc20823276"/>
      <w:r/>
      <w:bookmarkStart w:id="91" w:name="_Toc16938520"/>
      <w:r>
        <w:rPr>
          <w:rFonts w:hint="eastAsia" w:ascii="Arial" w:hAnsi="Arial" w:eastAsia="黑体" w:cs="Arial"/>
          <w:color w:val="000000"/>
          <w:sz w:val="28"/>
          <w:szCs w:val="28"/>
          <w:highlight w:val="none"/>
        </w:rPr>
        <w:t xml:space="preserve">1</w:t>
      </w:r>
      <w:bookmarkEnd w:id="87"/>
      <w:r>
        <w:rPr>
          <w:rFonts w:hint="eastAsia" w:ascii="Arial" w:hAnsi="Arial" w:eastAsia="黑体" w:cs="Arial"/>
          <w:color w:val="000000"/>
          <w:sz w:val="28"/>
          <w:szCs w:val="28"/>
          <w:highlight w:val="none"/>
        </w:rPr>
        <w:t xml:space="preserve">、招标方式</w:t>
      </w:r>
      <w:bookmarkEnd w:id="88"/>
      <w:r/>
      <w:bookmarkEnd w:id="89"/>
      <w:r/>
      <w:bookmarkEnd w:id="90"/>
      <w:r/>
      <w:bookmarkEnd w:id="91"/>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92" w:name="_Toc20823277"/>
      <w:r/>
      <w:bookmarkStart w:id="93" w:name="_Toc513029205"/>
      <w:r/>
      <w:bookmarkStart w:id="94" w:name="_Toc16938521"/>
      <w:r/>
      <w:bookmarkStart w:id="95" w:name="_Toc29912"/>
      <w:r>
        <w:rPr>
          <w:rFonts w:hint="eastAsia" w:ascii="Arial" w:hAnsi="Arial" w:eastAsia="黑体" w:cs="Arial"/>
          <w:color w:val="000000"/>
          <w:sz w:val="28"/>
          <w:szCs w:val="28"/>
          <w:highlight w:val="none"/>
        </w:rPr>
        <w:t xml:space="preserve">2、合格的投标人</w:t>
      </w:r>
      <w:bookmarkEnd w:id="92"/>
      <w:r/>
      <w:bookmarkEnd w:id="93"/>
      <w:r/>
      <w:bookmarkEnd w:id="94"/>
      <w:r/>
      <w:bookmarkEnd w:id="95"/>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96" w:name="_Toc20823278"/>
      <w:r/>
      <w:bookmarkStart w:id="97" w:name="_Toc513029206"/>
      <w:r/>
      <w:bookmarkStart w:id="98" w:name="_Toc16938522"/>
      <w:r/>
      <w:bookmarkStart w:id="99" w:name="_Toc58"/>
      <w:r>
        <w:rPr>
          <w:rFonts w:hint="eastAsia" w:ascii="Arial" w:hAnsi="Arial" w:eastAsia="黑体" w:cs="Arial"/>
          <w:color w:val="000000"/>
          <w:sz w:val="28"/>
          <w:szCs w:val="28"/>
          <w:highlight w:val="none"/>
        </w:rPr>
        <w:t xml:space="preserve">3、适用法律</w:t>
      </w:r>
      <w:bookmarkEnd w:id="96"/>
      <w:r/>
      <w:bookmarkEnd w:id="97"/>
      <w:r/>
      <w:bookmarkEnd w:id="98"/>
      <w:r>
        <w:rPr>
          <w:rFonts w:hint="eastAsia" w:ascii="Arial" w:hAnsi="Arial" w:eastAsia="黑体" w:cs="Arial"/>
          <w:color w:val="000000"/>
          <w:sz w:val="28"/>
          <w:szCs w:val="28"/>
          <w:highlight w:val="none"/>
        </w:rPr>
        <w:t xml:space="preserve">和标准</w:t>
      </w:r>
      <w:bookmarkEnd w:id="99"/>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3.1本次招标及由此产生的合同受中华人民共和国有关的法律法规制约和保护</w:t>
      </w:r>
      <w:r>
        <w:rPr>
          <w:rFonts w:ascii="宋体" w:hAnsi="宋体"/>
          <w:color w:val="000000"/>
          <w:sz w:val="24"/>
          <w:szCs w:val="21"/>
          <w:highlight w:val="none"/>
        </w:rPr>
        <w:t xml:space="preserve">。</w:t>
      </w:r>
      <w:r/>
    </w:p>
    <w:p>
      <w:pPr>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3.2在本项目政府采购活动过程中，如果所执行的标准有更新的，按照最新标准执行。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100" w:name="_Toc462564067"/>
      <w:r/>
      <w:bookmarkStart w:id="101" w:name="_Toc20823279"/>
      <w:r/>
      <w:bookmarkStart w:id="102" w:name="_Toc16938523"/>
      <w:r/>
      <w:bookmarkStart w:id="103" w:name="_Toc14516"/>
      <w:r/>
      <w:bookmarkStart w:id="104" w:name="_Toc513029207"/>
      <w:r>
        <w:rPr>
          <w:rFonts w:hint="eastAsia" w:ascii="Arial" w:hAnsi="Arial" w:eastAsia="黑体" w:cs="Arial"/>
          <w:color w:val="000000"/>
          <w:sz w:val="28"/>
          <w:szCs w:val="28"/>
          <w:highlight w:val="none"/>
        </w:rPr>
        <w:t xml:space="preserve">4、投标费用</w:t>
      </w:r>
      <w:bookmarkEnd w:id="100"/>
      <w:r/>
      <w:bookmarkEnd w:id="101"/>
      <w:r/>
      <w:bookmarkEnd w:id="102"/>
      <w:r/>
      <w:bookmarkEnd w:id="103"/>
      <w:r/>
      <w:bookmarkEnd w:id="104"/>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投标人应自行承担所有与参加投标有关的费用，无论投标过程中的做法和结果如何，</w:t>
      </w:r>
      <w:r>
        <w:rPr>
          <w:rFonts w:hint="eastAsia" w:ascii="宋体" w:hAnsi="宋体"/>
          <w:color w:val="000000"/>
          <w:sz w:val="24"/>
          <w:szCs w:val="21"/>
          <w:highlight w:val="none"/>
          <w:lang w:val="en-US" w:eastAsia="zh-CN"/>
        </w:rPr>
        <w:t xml:space="preserve">采购人</w:t>
      </w:r>
      <w:r>
        <w:rPr>
          <w:rFonts w:hint="eastAsia" w:ascii="宋体" w:hAnsi="宋体"/>
          <w:color w:val="000000"/>
          <w:sz w:val="24"/>
          <w:szCs w:val="21"/>
          <w:highlight w:val="none"/>
        </w:rPr>
        <w:t xml:space="preserve">在任何情况下均无义务和责任承担这些费用。</w:t>
      </w:r>
      <w:r/>
    </w:p>
    <w:p>
      <w:pPr>
        <w:ind w:firstLine="480"/>
        <w:spacing w:line="400" w:lineRule="exact"/>
        <w:rPr>
          <w:rFonts w:hint="eastAsia" w:ascii="宋体" w:hAnsi="宋体"/>
          <w:color w:val="000000" w:themeColor="text1"/>
          <w:sz w:val="24"/>
          <w:szCs w:val="21"/>
          <w:highlight w:val="none"/>
          <w:lang w:val="en-US" w:eastAsia="zh-CN"/>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4.2本项目的招标代理费由中标人支付，招标代理费按照计价格[2002]1980号文件及发改价格[2011]534号文件规定的58%计取，暂定12583.00元，投标单位在投标报价时应将该费用综合考虑在投标报价中，采购人不再另外支付。上述费用由中标单位在领取中标通知书前一次性支付给招标代理机构代理服务费。</w:t>
      </w:r>
      <w:r/>
    </w:p>
    <w:p>
      <w:pPr>
        <w:ind w:firstLine="450"/>
        <w:keepLines/>
        <w:keepNext/>
        <w:spacing w:line="400" w:lineRule="exact"/>
        <w:rPr>
          <w:rFonts w:hint="eastAsia" w:ascii="黑体" w:hAnsi="宋体" w:eastAsia="黑体" w:cs="Arial"/>
          <w:color w:val="000000"/>
          <w:sz w:val="28"/>
          <w:szCs w:val="28"/>
          <w:highlight w:val="none"/>
        </w:rPr>
        <w:outlineLvl w:val="1"/>
      </w:pPr>
      <w:r/>
      <w:bookmarkStart w:id="105" w:name="_Toc3861"/>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bookmarkEnd w:id="105"/>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highlight w:val="none"/>
        </w:rPr>
        <w:outlineLvl w:val="0"/>
      </w:pPr>
      <w:r/>
      <w:bookmarkStart w:id="106" w:name="_Toc26808"/>
      <w:r/>
      <w:bookmarkStart w:id="107" w:name="_Toc28639"/>
      <w:r/>
      <w:bookmarkStart w:id="108" w:name="_Toc513029209"/>
      <w:r/>
      <w:bookmarkStart w:id="109" w:name="_Toc16938525"/>
      <w:r/>
      <w:bookmarkStart w:id="110" w:name="_Toc7541"/>
      <w:r/>
      <w:bookmarkStart w:id="111" w:name="_Toc120614215"/>
      <w:r/>
      <w:bookmarkStart w:id="112" w:name="_Toc20823281"/>
      <w:r>
        <w:rPr>
          <w:rFonts w:hint="eastAsia"/>
          <w:b/>
          <w:bCs/>
          <w:color w:val="000000"/>
          <w:sz w:val="32"/>
          <w:szCs w:val="32"/>
          <w:highlight w:val="none"/>
        </w:rPr>
        <w:t xml:space="preserve">二、招标文件</w:t>
      </w:r>
      <w:bookmarkEnd w:id="106"/>
      <w:r/>
      <w:bookmarkEnd w:id="107"/>
      <w:r/>
      <w:bookmarkEnd w:id="108"/>
      <w:r/>
      <w:bookmarkEnd w:id="109"/>
      <w:r/>
      <w:bookmarkEnd w:id="110"/>
      <w:r/>
      <w:bookmarkEnd w:id="111"/>
      <w:r/>
      <w:bookmarkEnd w:id="112"/>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1"/>
      </w:pPr>
      <w:r/>
      <w:bookmarkStart w:id="113" w:name="_Toc19200"/>
      <w:r/>
      <w:bookmarkStart w:id="114" w:name="_Toc513029210"/>
      <w:r/>
      <w:bookmarkStart w:id="115" w:name="_Toc20823282"/>
      <w:r/>
      <w:bookmarkStart w:id="116" w:name="_Toc16938526"/>
      <w:r>
        <w:rPr>
          <w:rFonts w:hint="eastAsia" w:ascii="Arial" w:hAnsi="Arial" w:eastAsia="黑体" w:cs="Arial"/>
          <w:color w:val="000000"/>
          <w:sz w:val="28"/>
          <w:szCs w:val="28"/>
          <w:highlight w:val="none"/>
        </w:rPr>
        <w:t xml:space="preserve">6、招标文件构成</w:t>
      </w:r>
      <w:bookmarkEnd w:id="113"/>
      <w:r/>
      <w:bookmarkEnd w:id="114"/>
      <w:r/>
      <w:bookmarkEnd w:id="115"/>
      <w:r/>
      <w:bookmarkEnd w:id="116"/>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招标公告</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1"/>
          <w:highlight w:val="none"/>
        </w:rPr>
        <w:t xml:space="preserve">联系解决。</w:t>
      </w:r>
      <w:r/>
    </w:p>
    <w:p>
      <w:pPr>
        <w:ind w:firstLine="480"/>
        <w:spacing w:line="4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highlight w:val="none"/>
        </w:rPr>
        <w:outlineLvl w:val="1"/>
      </w:pPr>
      <w:r/>
      <w:bookmarkStart w:id="117" w:name="_Toc462564071"/>
      <w:r/>
      <w:bookmarkStart w:id="118" w:name="_Toc513029212"/>
      <w:r/>
      <w:bookmarkStart w:id="119" w:name="_Toc20823284"/>
      <w:r/>
      <w:bookmarkStart w:id="120" w:name="_Toc20685"/>
      <w:r/>
      <w:bookmarkStart w:id="121" w:name="_Toc16938528"/>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117"/>
      <w:r/>
      <w:bookmarkEnd w:id="118"/>
      <w:r/>
      <w:bookmarkEnd w:id="119"/>
      <w:r/>
      <w:bookmarkEnd w:id="120"/>
      <w:r/>
      <w:bookmarkEnd w:id="121"/>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1"/>
          <w:highlight w:val="none"/>
        </w:rPr>
        <w:t xml:space="preserve">可以对招标文件进行修改。</w:t>
      </w:r>
      <w:r/>
    </w:p>
    <w:p>
      <w:pPr>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0"/>
        <w:keepLines/>
        <w:keepNext/>
        <w:spacing w:before="156" w:after="156" w:line="400" w:lineRule="exact"/>
        <w:rPr>
          <w:rFonts w:hint="eastAsia"/>
          <w:b/>
          <w:bCs/>
          <w:color w:val="000000"/>
          <w:sz w:val="32"/>
          <w:szCs w:val="32"/>
          <w:highlight w:val="none"/>
        </w:rPr>
        <w:outlineLvl w:val="0"/>
      </w:pPr>
      <w:r/>
      <w:bookmarkStart w:id="122" w:name="_Toc513029213"/>
      <w:r/>
      <w:bookmarkStart w:id="123" w:name="_Toc20823285"/>
      <w:r/>
      <w:bookmarkStart w:id="124" w:name="_Toc22464"/>
      <w:r/>
      <w:bookmarkStart w:id="125" w:name="_Toc14626"/>
      <w:r/>
      <w:bookmarkStart w:id="126" w:name="_Toc16938529"/>
      <w:r/>
      <w:bookmarkStart w:id="127" w:name="_Toc2765"/>
      <w:r/>
      <w:bookmarkStart w:id="128" w:name="_Toc120614216"/>
      <w:r/>
      <w:bookmarkStart w:id="129" w:name="_Toc462564072"/>
      <w:r>
        <w:rPr>
          <w:rFonts w:hint="eastAsia"/>
          <w:b/>
          <w:bCs/>
          <w:color w:val="000000"/>
          <w:sz w:val="32"/>
          <w:szCs w:val="32"/>
          <w:highlight w:val="none"/>
        </w:rPr>
        <w:t xml:space="preserve">三、投标文件的编制</w:t>
      </w:r>
      <w:bookmarkEnd w:id="122"/>
      <w:r/>
      <w:bookmarkEnd w:id="123"/>
      <w:r/>
      <w:bookmarkEnd w:id="124"/>
      <w:r/>
      <w:bookmarkEnd w:id="125"/>
      <w:r/>
      <w:bookmarkEnd w:id="126"/>
      <w:r/>
      <w:bookmarkEnd w:id="127"/>
      <w:r/>
      <w:bookmarkEnd w:id="128"/>
      <w:r/>
      <w:bookmarkEnd w:id="129"/>
      <w:r/>
      <w:r/>
    </w:p>
    <w:p>
      <w:pPr>
        <w:ind w:firstLine="420"/>
        <w:keepLines/>
        <w:keepNext/>
        <w:pageBreakBefore w:val="0"/>
        <w:spacing w:line="400" w:lineRule="exact"/>
        <w:widowControl w:val="off"/>
        <w:rPr>
          <w:rFonts w:hint="eastAsia" w:ascii="Arial" w:hAnsi="Arial" w:eastAsia="黑体" w:cs="Arial"/>
          <w:b/>
          <w:color w:val="000000"/>
          <w:sz w:val="28"/>
          <w:szCs w:val="28"/>
          <w:highlight w:val="none"/>
        </w:rPr>
        <w:outlineLvl w:val="1"/>
      </w:pPr>
      <w:r/>
      <w:bookmarkStart w:id="130" w:name="_Toc513029214"/>
      <w:r/>
      <w:bookmarkStart w:id="131" w:name="_Toc20823286"/>
      <w:r/>
      <w:bookmarkStart w:id="132" w:name="_Toc22154"/>
      <w:r/>
      <w:bookmarkStart w:id="133" w:name="_Toc16938530"/>
      <w:r/>
      <w:bookmarkStart w:id="134" w:name="_Toc462564073"/>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130"/>
      <w:r/>
      <w:bookmarkEnd w:id="131"/>
      <w:r/>
      <w:bookmarkEnd w:id="132"/>
      <w:r/>
      <w:bookmarkEnd w:id="133"/>
      <w:r/>
      <w:bookmarkEnd w:id="134"/>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投标人提交的投标文件以及投标人与采购</w:t>
      </w:r>
      <w:r>
        <w:rPr>
          <w:rFonts w:hint="eastAsia" w:ascii="宋体" w:hAnsi="宋体"/>
          <w:color w:val="000000"/>
          <w:sz w:val="24"/>
          <w:szCs w:val="21"/>
          <w:highlight w:val="none"/>
          <w:lang w:val="en-US" w:eastAsia="zh-CN"/>
        </w:rPr>
        <w:t xml:space="preserve">人或代理机构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除技术性能另有规定外，投标文件所使用的度量衡单位，均须采用国家法定计量单位。</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1"/>
      </w:pPr>
      <w:r/>
      <w:bookmarkStart w:id="135" w:name="_Toc513029215"/>
      <w:r/>
      <w:bookmarkStart w:id="136" w:name="_Toc12873"/>
      <w:r/>
      <w:bookmarkStart w:id="137" w:name="_Toc16938531"/>
      <w:r/>
      <w:bookmarkStart w:id="138" w:name="_Toc462564074"/>
      <w:r/>
      <w:bookmarkStart w:id="139" w:name="_Toc20823287"/>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135"/>
      <w:r/>
      <w:bookmarkEnd w:id="136"/>
      <w:r/>
      <w:bookmarkEnd w:id="137"/>
      <w:r/>
      <w:bookmarkEnd w:id="138"/>
      <w:r/>
      <w:bookmarkEnd w:id="139"/>
      <w:r/>
      <w:r/>
    </w:p>
    <w:p>
      <w:pPr>
        <w:ind w:firstLine="480"/>
        <w:spacing w:line="400" w:lineRule="exact"/>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color w:val="0000ff"/>
          <w:sz w:val="24"/>
          <w:szCs w:val="21"/>
          <w:highlight w:val="none"/>
        </w:rPr>
        <w:t xml:space="preserve">投标人编写的投标文件应包括资格证明文件、投标分项报价表、技术条款响应及偏离表、其他证明文件、投标函、开标一览表等部分。</w:t>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140" w:name="_Hlt26670360"/>
      <w:r/>
      <w:bookmarkEnd w:id="140"/>
      <w:r/>
      <w:bookmarkStart w:id="141" w:name="_Hlt26668975"/>
      <w:r/>
      <w:bookmarkEnd w:id="141"/>
      <w:r/>
      <w:bookmarkStart w:id="142" w:name="_Hlt26954838"/>
      <w:r/>
      <w:bookmarkEnd w:id="142"/>
      <w:r/>
      <w:bookmarkStart w:id="143" w:name="_Toc7572"/>
      <w:r/>
      <w:bookmarkStart w:id="144" w:name="_Toc49090509"/>
      <w:r/>
      <w:bookmarkStart w:id="145" w:name="_Toc513029219"/>
      <w:r/>
      <w:bookmarkStart w:id="146" w:name="_Toc14577357"/>
      <w:r/>
      <w:bookmarkStart w:id="147" w:name="_Toc513029216"/>
      <w:r/>
      <w:bookmarkStart w:id="148" w:name="_Toc49090507"/>
      <w:r/>
      <w:bookmarkStart w:id="149" w:name="_Toc14577354"/>
      <w:r/>
      <w:bookmarkStart w:id="150" w:name="_Toc49090508"/>
      <w:r/>
      <w:bookmarkStart w:id="151" w:name="_Toc1457735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143"/>
      <w:r/>
      <w:bookmarkEnd w:id="144"/>
      <w:r/>
      <w:bookmarkEnd w:id="145"/>
      <w:r/>
      <w:bookmarkEnd w:id="146"/>
      <w:r/>
      <w:bookmarkEnd w:id="147"/>
      <w:bookmarkEnd w:id="148"/>
      <w:bookmarkEnd w:id="149"/>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.1投标人应按照招标文件要求提交证明文件，证明其及投标标的符合招标文件规定。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50"/>
      <w:bookmarkEnd w:id="151"/>
      <w:r/>
    </w:p>
    <w:p>
      <w:pPr>
        <w:ind w:firstLine="420"/>
        <w:keepLines/>
        <w:keepNext/>
        <w:spacing w:line="400" w:lineRule="exact"/>
        <w:rPr>
          <w:rFonts w:hint="eastAsia" w:ascii="Arial" w:hAnsi="Arial" w:eastAsia="黑体" w:cs="Arial"/>
          <w:color w:val="000000"/>
          <w:sz w:val="28"/>
          <w:szCs w:val="28"/>
          <w:highlight w:val="none"/>
        </w:rPr>
        <w:outlineLvl w:val="1"/>
      </w:pPr>
      <w:r/>
      <w:bookmarkStart w:id="152" w:name="_Toc2810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bookmarkEnd w:id="152"/>
      <w:r/>
      <w:r/>
    </w:p>
    <w:p>
      <w:pPr>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投</w:t>
      </w:r>
      <w:bookmarkStart w:id="153" w:name="_Hlt26954840"/>
      <w:r/>
      <w:bookmarkEnd w:id="153"/>
      <w:r>
        <w:rPr>
          <w:rFonts w:hint="eastAsia" w:ascii="宋体" w:hAnsi="宋体"/>
          <w:sz w:val="24"/>
          <w:szCs w:val="21"/>
          <w:highlight w:val="none"/>
        </w:rPr>
        <w:t xml:space="preserve">标人按照招标文件规定格式填报投标分项报价表</w:t>
      </w:r>
      <w:bookmarkStart w:id="154" w:name="_Hlt26670399"/>
      <w:r/>
      <w:bookmarkEnd w:id="154"/>
      <w:r>
        <w:rPr>
          <w:rFonts w:hint="eastAsia" w:ascii="宋体" w:hAnsi="宋体"/>
          <w:sz w:val="24"/>
          <w:szCs w:val="21"/>
          <w:highlight w:val="none"/>
        </w:rPr>
        <w:t xml:space="preserve">。</w:t>
      </w:r>
      <w:r/>
    </w:p>
    <w:p>
      <w:pPr>
        <w:ind w:firstLine="480"/>
        <w:spacing w:line="40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400" w:lineRule="exact"/>
        <w:rPr>
          <w:rFonts w:hint="eastAsia" w:ascii="Arial" w:hAnsi="Arial" w:eastAsia="黑体" w:cs="Arial"/>
          <w:sz w:val="28"/>
          <w:szCs w:val="28"/>
          <w:highlight w:val="none"/>
          <w:lang w:eastAsia="zh-CN"/>
        </w:rPr>
        <w:outlineLvl w:val="1"/>
      </w:pPr>
      <w:r/>
      <w:bookmarkStart w:id="155" w:name="_Hlt26954848"/>
      <w:r/>
      <w:bookmarkEnd w:id="155"/>
      <w:r/>
      <w:bookmarkStart w:id="156" w:name="_Hlt26670486"/>
      <w:r/>
      <w:bookmarkEnd w:id="156"/>
      <w:r/>
      <w:bookmarkStart w:id="157" w:name="_Hlt26670482"/>
      <w:r/>
      <w:bookmarkEnd w:id="157"/>
      <w:r/>
      <w:bookmarkStart w:id="158" w:name="_Hlt26954731"/>
      <w:r/>
      <w:bookmarkEnd w:id="158"/>
      <w:r/>
      <w:bookmarkStart w:id="159" w:name="_Hlt26954846"/>
      <w:r/>
      <w:bookmarkEnd w:id="159"/>
      <w:r/>
      <w:bookmarkStart w:id="160" w:name="_Toc24012"/>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w:t>
      </w:r>
      <w:bookmarkEnd w:id="160"/>
      <w:r/>
      <w:r/>
    </w:p>
    <w:p>
      <w:pPr>
        <w:ind w:firstLine="480"/>
        <w:spacing w:line="4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sz w:val="24"/>
          <w:szCs w:val="21"/>
          <w:highlight w:val="none"/>
          <w:lang w:val="zh-CN"/>
        </w:rPr>
        <w:t xml:space="preserve">投标人需对招标文件中的技术要求逐项作出响应或偏离，并说明原因。</w:t>
      </w:r>
      <w:r/>
    </w:p>
    <w:p>
      <w:pPr>
        <w:ind w:firstLine="480"/>
        <w:spacing w:line="4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.2投标人需按照招标文件要求，在投标文件中提供与技术要求相关的证明材料。</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161" w:name="_Toc2638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w:t>
      </w:r>
      <w:r>
        <w:rPr>
          <w:rFonts w:hint="eastAsia" w:ascii="Arial" w:hAnsi="Arial" w:eastAsia="黑体" w:cs="Arial"/>
          <w:color w:val="000000"/>
          <w:sz w:val="28"/>
          <w:szCs w:val="28"/>
          <w:highlight w:val="none"/>
          <w:lang w:eastAsia="zh-CN"/>
        </w:rPr>
        <w:t xml:space="preserve">现状分析、技术方案、售后服务</w:t>
      </w:r>
      <w:r>
        <w:rPr>
          <w:rFonts w:hint="eastAsia" w:ascii="Arial" w:hAnsi="Arial" w:eastAsia="黑体" w:cs="Arial"/>
          <w:color w:val="000000"/>
          <w:sz w:val="28"/>
          <w:szCs w:val="28"/>
          <w:highlight w:val="none"/>
        </w:rPr>
        <w:t xml:space="preserve">及其他</w:t>
      </w:r>
      <w:bookmarkEnd w:id="161"/>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投标人需根据招标文件要求提供有关</w:t>
      </w:r>
      <w:r>
        <w:rPr>
          <w:rFonts w:hint="eastAsia" w:ascii="宋体" w:hAnsi="宋体"/>
          <w:color w:val="000000"/>
          <w:sz w:val="24"/>
          <w:szCs w:val="24"/>
          <w:highlight w:val="none"/>
          <w:lang w:eastAsia="zh-CN"/>
        </w:rPr>
        <w:t xml:space="preserve">现状分析、技术方案、售后服务</w:t>
      </w:r>
      <w:r>
        <w:rPr>
          <w:rFonts w:hint="eastAsia" w:ascii="宋体" w:hAnsi="宋体"/>
          <w:color w:val="000000"/>
          <w:sz w:val="24"/>
          <w:szCs w:val="24"/>
          <w:highlight w:val="none"/>
        </w:rPr>
        <w:t xml:space="preserve">等。</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162" w:name="_Toc3577"/>
      <w:r/>
      <w:bookmarkStart w:id="163" w:name="_Toc14577359"/>
      <w:r/>
      <w:bookmarkStart w:id="164"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bookmarkEnd w:id="162"/>
      <w:r/>
      <w:r/>
    </w:p>
    <w:p>
      <w:pPr>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.2对于采用货币报价的项目，开标一览表中的投标总报价应与投标分项报价表中的投标总报价一致，如不一致，不作为无效投标处理，但评标时按开标一览表中价格为准。</w:t>
      </w:r>
      <w:bookmarkEnd w:id="163"/>
      <w:bookmarkEnd w:id="164"/>
      <w:r/>
    </w:p>
    <w:p>
      <w:pPr>
        <w:ind w:firstLine="420"/>
        <w:keepLines/>
        <w:keepNext/>
        <w:spacing w:line="400" w:lineRule="exact"/>
        <w:rPr>
          <w:rFonts w:hint="eastAsia" w:ascii="Arial" w:hAnsi="Arial" w:eastAsia="黑体" w:cs="Arial"/>
          <w:color w:val="000000"/>
          <w:sz w:val="28"/>
          <w:szCs w:val="28"/>
          <w:highlight w:val="none"/>
        </w:rPr>
        <w:outlineLvl w:val="1"/>
      </w:pPr>
      <w:r/>
      <w:bookmarkStart w:id="165" w:name="_Toc14577360"/>
      <w:r/>
      <w:bookmarkStart w:id="166" w:name="_Toc9689"/>
      <w:r/>
      <w:bookmarkStart w:id="167" w:name="_Toc4909051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65"/>
      <w:r/>
      <w:bookmarkEnd w:id="166"/>
      <w:r/>
      <w:bookmarkEnd w:id="167"/>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w:t>
      </w:r>
      <w:r>
        <w:rPr>
          <w:rFonts w:hint="eastAsia" w:ascii="宋体" w:hAnsi="宋体"/>
          <w:bCs/>
          <w:color w:val="000000"/>
          <w:sz w:val="24"/>
          <w:szCs w:val="21"/>
          <w:highlight w:val="none"/>
          <w:lang w:val="en-US" w:eastAsia="zh-CN"/>
        </w:rPr>
        <w:t xml:space="preserve">人或代理机构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168" w:name="_Toc3128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bookmarkEnd w:id="168"/>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keepLines/>
        <w:keepNext/>
        <w:spacing w:before="156" w:after="156" w:line="400" w:lineRule="exact"/>
        <w:rPr>
          <w:rFonts w:hint="eastAsia"/>
          <w:b/>
          <w:bCs/>
          <w:color w:val="000000"/>
          <w:sz w:val="32"/>
          <w:szCs w:val="32"/>
          <w:highlight w:val="none"/>
        </w:rPr>
        <w:outlineLvl w:val="0"/>
      </w:pPr>
      <w:r/>
      <w:bookmarkStart w:id="169" w:name="_Hlt26954739"/>
      <w:r/>
      <w:bookmarkEnd w:id="169"/>
      <w:r/>
      <w:bookmarkStart w:id="170" w:name="_Hlt26954852"/>
      <w:r/>
      <w:bookmarkEnd w:id="170"/>
      <w:r/>
      <w:bookmarkStart w:id="171" w:name="_Toc16938540"/>
      <w:r/>
      <w:bookmarkStart w:id="172" w:name="_Toc32514"/>
      <w:r/>
      <w:bookmarkStart w:id="173" w:name="_Toc20823296"/>
      <w:r/>
      <w:bookmarkStart w:id="174" w:name="_Toc120614217"/>
      <w:r/>
      <w:bookmarkStart w:id="175" w:name="_Toc513029224"/>
      <w:r/>
      <w:bookmarkStart w:id="176" w:name="_Toc10712"/>
      <w:r/>
      <w:bookmarkStart w:id="177" w:name="_Toc9070"/>
      <w:r>
        <w:rPr>
          <w:rFonts w:hint="eastAsia"/>
          <w:b/>
          <w:bCs/>
          <w:color w:val="000000"/>
          <w:sz w:val="32"/>
          <w:szCs w:val="32"/>
          <w:highlight w:val="none"/>
        </w:rPr>
        <w:t xml:space="preserve">四、投标文件的递交</w:t>
      </w:r>
      <w:bookmarkEnd w:id="171"/>
      <w:r/>
      <w:bookmarkEnd w:id="172"/>
      <w:r/>
      <w:bookmarkEnd w:id="173"/>
      <w:r/>
      <w:bookmarkEnd w:id="174"/>
      <w:r/>
      <w:bookmarkEnd w:id="175"/>
      <w:r/>
      <w:bookmarkEnd w:id="176"/>
      <w:r/>
      <w:bookmarkEnd w:id="177"/>
      <w:r/>
      <w:r/>
    </w:p>
    <w:p>
      <w:pPr>
        <w:ind w:firstLine="420"/>
        <w:keepLines/>
        <w:keepNext/>
        <w:spacing w:line="400" w:lineRule="exact"/>
        <w:rPr>
          <w:rFonts w:hint="eastAsia" w:ascii="黑体" w:hAnsi="Arial" w:eastAsia="黑体" w:cs="Arial"/>
          <w:color w:val="000000"/>
          <w:sz w:val="28"/>
          <w:szCs w:val="28"/>
          <w:highlight w:val="none"/>
        </w:rPr>
        <w:outlineLvl w:val="1"/>
      </w:pPr>
      <w:r/>
      <w:bookmarkStart w:id="178" w:name="_Toc462564084"/>
      <w:r/>
      <w:bookmarkStart w:id="179" w:name="_Toc513029225"/>
      <w:r/>
      <w:bookmarkStart w:id="180" w:name="_Toc20823297"/>
      <w:r/>
      <w:bookmarkStart w:id="181" w:name="_Toc16938541"/>
      <w:r/>
      <w:bookmarkStart w:id="182" w:name="_Toc1623"/>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78"/>
      <w:r/>
      <w:bookmarkEnd w:id="179"/>
      <w:r/>
      <w:bookmarkEnd w:id="180"/>
      <w:r/>
      <w:bookmarkEnd w:id="181"/>
      <w:r>
        <w:rPr>
          <w:rFonts w:hint="eastAsia" w:ascii="黑体" w:hAnsi="Arial" w:eastAsia="黑体" w:cs="Arial"/>
          <w:color w:val="000000"/>
          <w:sz w:val="28"/>
          <w:szCs w:val="28"/>
          <w:highlight w:val="none"/>
        </w:rPr>
        <w:t xml:space="preserve">的递交</w:t>
      </w:r>
      <w:bookmarkEnd w:id="182"/>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83" w:name="_Toc16938542"/>
      <w:r/>
      <w:bookmarkStart w:id="184" w:name="_Toc20823298"/>
      <w:r/>
      <w:bookmarkStart w:id="185" w:name="_Toc513029226"/>
      <w:r/>
      <w:r/>
    </w:p>
    <w:p>
      <w:pPr>
        <w:ind w:firstLine="420"/>
        <w:keepLines/>
        <w:keepNext/>
        <w:spacing w:line="400" w:lineRule="exact"/>
        <w:rPr>
          <w:rFonts w:hint="eastAsia" w:ascii="Arial" w:hAnsi="Arial" w:eastAsia="黑体" w:cs="Arial"/>
          <w:color w:val="000000"/>
          <w:sz w:val="28"/>
          <w:szCs w:val="28"/>
          <w:highlight w:val="none"/>
        </w:rPr>
        <w:outlineLvl w:val="1"/>
      </w:pPr>
      <w:r/>
      <w:bookmarkStart w:id="186" w:name="_Toc3440"/>
      <w:r>
        <w:rPr>
          <w:rFonts w:hint="eastAsia" w:ascii="Arial" w:hAnsi="Arial" w:eastAsia="黑体" w:cs="Arial"/>
          <w:color w:val="000000"/>
          <w:sz w:val="28"/>
          <w:szCs w:val="28"/>
          <w:highlight w:val="none"/>
        </w:rPr>
        <w:t xml:space="preserve">18、投标截止日期</w:t>
      </w:r>
      <w:bookmarkEnd w:id="183"/>
      <w:r/>
      <w:bookmarkEnd w:id="184"/>
      <w:r/>
      <w:bookmarkEnd w:id="185"/>
      <w:r/>
      <w:bookmarkEnd w:id="186"/>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187" w:name="_Toc16938543"/>
      <w:r/>
      <w:bookmarkStart w:id="188" w:name="_Toc513029227"/>
      <w:r/>
      <w:bookmarkStart w:id="189" w:name="_Toc20823299"/>
      <w:r/>
      <w:bookmarkStart w:id="190" w:name="_Toc17821"/>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87"/>
      <w:r/>
      <w:bookmarkEnd w:id="188"/>
      <w:r/>
      <w:bookmarkEnd w:id="189"/>
      <w:r>
        <w:rPr>
          <w:rFonts w:hint="eastAsia" w:ascii="Arial" w:hAnsi="Arial" w:eastAsia="黑体" w:cs="Arial"/>
          <w:color w:val="000000"/>
          <w:sz w:val="28"/>
          <w:szCs w:val="28"/>
          <w:highlight w:val="none"/>
        </w:rPr>
        <w:t xml:space="preserve">的拒收</w:t>
      </w:r>
      <w:bookmarkEnd w:id="190"/>
      <w:r/>
      <w:r/>
    </w:p>
    <w:p>
      <w:pPr>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191" w:name="_Toc20823300"/>
      <w:r/>
      <w:bookmarkStart w:id="192" w:name="_Toc16938544"/>
      <w:r/>
      <w:bookmarkStart w:id="193" w:name="_Toc513029228"/>
      <w:r/>
      <w:bookmarkStart w:id="194" w:name="_Toc240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91"/>
      <w:r/>
      <w:bookmarkEnd w:id="192"/>
      <w:r/>
      <w:bookmarkEnd w:id="193"/>
      <w:r/>
      <w:bookmarkEnd w:id="194"/>
      <w:r/>
      <w:r/>
    </w:p>
    <w:p>
      <w:pPr>
        <w:ind w:firstLine="480"/>
        <w:spacing w:line="400" w:lineRule="exact"/>
        <w:rPr>
          <w:rFonts w:hint="eastAsia" w:ascii="宋体" w:hAnsi="宋体"/>
          <w:color w:val="000000"/>
          <w:sz w:val="24"/>
          <w:szCs w:val="21"/>
          <w:highlight w:val="none"/>
        </w:rPr>
        <w:outlineLvl w:val="2"/>
      </w:pPr>
      <w:r/>
      <w:bookmarkStart w:id="195" w:name="_Toc59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.1投标文件的撤回</w:t>
      </w:r>
      <w:bookmarkEnd w:id="195"/>
      <w:r/>
      <w:r/>
    </w:p>
    <w:p>
      <w:pPr>
        <w:ind w:firstLine="480"/>
        <w:spacing w:line="400" w:lineRule="exact"/>
        <w:rPr>
          <w:rFonts w:hint="eastAsia" w:ascii="宋体" w:hAnsi="宋体"/>
          <w:color w:val="000000"/>
          <w:sz w:val="24"/>
          <w:szCs w:val="21"/>
          <w:highlight w:val="none"/>
        </w:rPr>
        <w:outlineLvl w:val="3"/>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.1.1电子投标文件的撤回</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highlight w:val="none"/>
        </w:rPr>
        <w:outlineLvl w:val="3"/>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400" w:lineRule="exact"/>
        <w:rPr>
          <w:rFonts w:hint="eastAsia" w:ascii="宋体" w:hAnsi="宋体"/>
          <w:color w:val="000000"/>
          <w:sz w:val="24"/>
          <w:szCs w:val="24"/>
          <w:highlight w:val="none"/>
        </w:rPr>
        <w:outlineLvl w:val="2"/>
      </w:pPr>
      <w:r/>
      <w:bookmarkStart w:id="196" w:name="_Toc22384"/>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bookmarkEnd w:id="196"/>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highlight w:val="none"/>
        </w:rPr>
        <w:outlineLvl w:val="2"/>
      </w:pPr>
      <w:r/>
      <w:bookmarkStart w:id="197" w:name="_Toc14782"/>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bookmarkEnd w:id="197"/>
      <w:r/>
      <w:r/>
    </w:p>
    <w:p>
      <w:pPr>
        <w:ind w:firstLine="480"/>
        <w:keepLines/>
        <w:keepNext/>
        <w:spacing w:before="156" w:after="156" w:line="400" w:lineRule="exact"/>
        <w:rPr>
          <w:rFonts w:hint="eastAsia"/>
          <w:b/>
          <w:bCs/>
          <w:color w:val="000000"/>
          <w:sz w:val="32"/>
          <w:szCs w:val="32"/>
          <w:highlight w:val="none"/>
        </w:rPr>
        <w:outlineLvl w:val="0"/>
      </w:pPr>
      <w:r/>
      <w:bookmarkStart w:id="198" w:name="_Toc20823301"/>
      <w:r/>
      <w:bookmarkStart w:id="199" w:name="_Toc12886"/>
      <w:r/>
      <w:bookmarkStart w:id="200" w:name="_Toc25243"/>
      <w:r/>
      <w:bookmarkStart w:id="201" w:name="_Toc513029229"/>
      <w:r/>
      <w:bookmarkStart w:id="202" w:name="_Toc16938545"/>
      <w:r/>
      <w:bookmarkStart w:id="203" w:name="_Toc120614218"/>
      <w:r/>
      <w:bookmarkStart w:id="204" w:name="_Toc23207"/>
      <w:r>
        <w:rPr>
          <w:rFonts w:hint="eastAsia"/>
          <w:b/>
          <w:bCs/>
          <w:color w:val="000000"/>
          <w:sz w:val="32"/>
          <w:szCs w:val="32"/>
          <w:highlight w:val="none"/>
        </w:rPr>
        <w:t xml:space="preserve">五、开标与评标</w:t>
      </w:r>
      <w:bookmarkEnd w:id="198"/>
      <w:r/>
      <w:bookmarkEnd w:id="199"/>
      <w:r/>
      <w:bookmarkEnd w:id="200"/>
      <w:r/>
      <w:bookmarkEnd w:id="201"/>
      <w:r/>
      <w:bookmarkEnd w:id="202"/>
      <w:r/>
      <w:bookmarkEnd w:id="203"/>
      <w:r/>
      <w:bookmarkEnd w:id="204"/>
      <w:r/>
      <w:r/>
    </w:p>
    <w:p>
      <w:pPr>
        <w:ind w:firstLine="420"/>
        <w:keepLines/>
        <w:keepNext/>
        <w:spacing w:line="400" w:lineRule="exact"/>
        <w:rPr>
          <w:rFonts w:hint="eastAsia" w:ascii="Arial" w:hAnsi="Arial" w:eastAsia="黑体" w:cs="Arial"/>
          <w:color w:val="000000"/>
          <w:sz w:val="28"/>
          <w:szCs w:val="28"/>
          <w:highlight w:val="none"/>
        </w:rPr>
        <w:outlineLvl w:val="1"/>
      </w:pPr>
      <w:r/>
      <w:bookmarkStart w:id="205" w:name="_Toc20823302"/>
      <w:r/>
      <w:bookmarkStart w:id="206" w:name="_Toc16938546"/>
      <w:r/>
      <w:bookmarkStart w:id="207" w:name="_Toc4469"/>
      <w:r/>
      <w:bookmarkStart w:id="208" w:name="_Toc513029230"/>
      <w:r>
        <w:rPr>
          <w:rFonts w:hint="eastAsia" w:ascii="Arial" w:hAnsi="Arial" w:eastAsia="黑体" w:cs="Arial"/>
          <w:color w:val="000000"/>
          <w:sz w:val="28"/>
          <w:szCs w:val="28"/>
          <w:highlight w:val="none"/>
        </w:rPr>
        <w:t xml:space="preserve">21、开标</w:t>
      </w:r>
      <w:bookmarkEnd w:id="205"/>
      <w:r/>
      <w:bookmarkEnd w:id="206"/>
      <w:r/>
      <w:bookmarkEnd w:id="207"/>
      <w:r/>
      <w:bookmarkEnd w:id="208"/>
      <w:r/>
      <w:r/>
    </w:p>
    <w:p>
      <w:pPr>
        <w:ind w:firstLine="480"/>
        <w:spacing w:line="4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lang w:eastAsia="zh-CN"/>
        </w:rPr>
        <w:t xml:space="preserve">采购人或代理机构</w:t>
      </w:r>
      <w:r>
        <w:rPr>
          <w:rFonts w:hint="eastAsia" w:ascii="宋体" w:hAnsi="宋体"/>
          <w:bCs/>
          <w:sz w:val="24"/>
          <w:szCs w:val="21"/>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w:t>
      </w:r>
      <w:r>
        <w:rPr>
          <w:rFonts w:hint="eastAsia" w:ascii="宋体" w:hAnsi="宋体"/>
          <w:sz w:val="24"/>
          <w:szCs w:val="24"/>
          <w:highlight w:val="none"/>
          <w:lang w:eastAsia="zh-CN"/>
        </w:rPr>
        <w:t xml:space="preserve">采购人或代理机构</w:t>
      </w:r>
      <w:r>
        <w:rPr>
          <w:rFonts w:hint="eastAsia" w:ascii="宋体" w:hAnsi="宋体"/>
          <w:sz w:val="24"/>
          <w:szCs w:val="24"/>
          <w:highlight w:val="none"/>
        </w:rPr>
        <w:t xml:space="preserve">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400" w:lineRule="exact"/>
        <w:rPr>
          <w:rFonts w:hint="eastAsia"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highlight w:val="none"/>
        </w:rPr>
        <w:outlineLvl w:val="1"/>
      </w:pPr>
      <w:r/>
      <w:bookmarkStart w:id="209" w:name="_Toc25363"/>
      <w:r/>
      <w:bookmarkStart w:id="210" w:name="_Toc513029231"/>
      <w:r/>
      <w:bookmarkStart w:id="211" w:name="_Toc20823303"/>
      <w:r/>
      <w:bookmarkStart w:id="212"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bookmarkEnd w:id="209"/>
      <w:r/>
      <w:r/>
    </w:p>
    <w:p>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.1开标后，</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将立即组织评标委员会（以下简称评委会）进行评标。</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p>
    <w:p>
      <w:pPr>
        <w:ind w:firstLine="420"/>
        <w:keepLines/>
        <w:keepNext/>
        <w:spacing w:line="400" w:lineRule="exact"/>
        <w:rPr>
          <w:rFonts w:hint="eastAsia" w:ascii="黑体" w:hAnsi="Arial" w:eastAsia="黑体" w:cs="Arial"/>
          <w:color w:val="000000"/>
          <w:sz w:val="28"/>
          <w:szCs w:val="28"/>
          <w:highlight w:val="none"/>
        </w:rPr>
        <w:outlineLvl w:val="1"/>
      </w:pPr>
      <w:r/>
      <w:bookmarkStart w:id="213" w:name="_Toc1076"/>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213"/>
      <w:r/>
      <w:bookmarkEnd w:id="210"/>
      <w:bookmarkEnd w:id="211"/>
      <w:bookmarkEnd w:id="212"/>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均不得向投标人或与评标无关的其他人员透露。</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214" w:name="_Toc30221"/>
      <w:r/>
      <w:bookmarkStart w:id="215" w:name="_Toc513029232"/>
      <w:r/>
      <w:bookmarkStart w:id="216" w:name="_Toc16938548"/>
      <w:r/>
      <w:bookmarkStart w:id="217"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214"/>
      <w:r/>
      <w:bookmarkEnd w:id="215"/>
      <w:r/>
      <w:bookmarkEnd w:id="216"/>
      <w:r/>
      <w:bookmarkEnd w:id="217"/>
      <w:r/>
      <w:r/>
    </w:p>
    <w:p>
      <w:pPr>
        <w:ind w:firstLine="480"/>
        <w:spacing w:line="400" w:lineRule="exact"/>
        <w:rPr>
          <w:rFonts w:ascii="宋体" w:hAnsi="宋体"/>
          <w:color w:val="000000"/>
          <w:sz w:val="24"/>
          <w:szCs w:val="24"/>
          <w:highlight w:val="none"/>
        </w:rPr>
      </w:pPr>
      <w:r/>
      <w:bookmarkStart w:id="218" w:name="_Toc16938549"/>
      <w:r/>
      <w:bookmarkStart w:id="219" w:name="_Toc20823305"/>
      <w:r/>
      <w:bookmarkStart w:id="220"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.3接到评委会澄清、说明和补正要求的投标人如未按规定</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p>
    <w:p>
      <w:pPr>
        <w:ind w:firstLine="420"/>
        <w:keepLines/>
        <w:keepNext/>
        <w:spacing w:line="400" w:lineRule="exact"/>
        <w:rPr>
          <w:rFonts w:hint="eastAsia" w:ascii="Arial" w:hAnsi="Arial" w:eastAsia="黑体" w:cs="Arial"/>
          <w:color w:val="000000"/>
          <w:sz w:val="28"/>
          <w:szCs w:val="28"/>
          <w:highlight w:val="none"/>
        </w:rPr>
        <w:outlineLvl w:val="1"/>
      </w:pPr>
      <w:r/>
      <w:bookmarkStart w:id="221" w:name="_Toc6975"/>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218"/>
      <w:r/>
      <w:bookmarkEnd w:id="219"/>
      <w:r/>
      <w:bookmarkEnd w:id="220"/>
      <w:r/>
      <w:bookmarkEnd w:id="221"/>
      <w:r/>
      <w:r/>
    </w:p>
    <w:tbl>
      <w:tblPr>
        <w:tblStyle w:val="779"/>
        <w:tblpPr w:horzAnchor="page" w:tblpXSpec="center" w:vertAnchor="text" w:tblpY="553" w:leftFromText="180" w:topFromText="0" w:rightFromText="180" w:bottomFromText="0"/>
        <w:tblW w:w="843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91"/>
        <w:gridCol w:w="477"/>
        <w:gridCol w:w="2525"/>
        <w:gridCol w:w="4946"/>
      </w:tblGrid>
      <w:tr>
        <w:trPr>
          <w:jc w:val="center"/>
          <w:trHeight w:val="345"/>
        </w:trPr>
        <w:tc>
          <w:tcPr>
            <w:gridSpan w:val="2"/>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jc w:val="center"/>
              <w:rPr>
                <w:rFonts w:hint="eastAsia"/>
                <w:b/>
                <w:bCs/>
                <w:highlight w:val="none"/>
                <w:lang w:eastAsia="zh-CN"/>
              </w:rPr>
            </w:pPr>
            <w:r>
              <w:rPr>
                <w:rFonts w:hint="eastAsia"/>
                <w:b/>
                <w:bCs/>
                <w:highlight w:val="none"/>
                <w:lang w:eastAsia="zh-CN"/>
              </w:rPr>
              <w:t xml:space="preserve">条款号</w:t>
            </w:r>
            <w:r/>
          </w:p>
        </w:tc>
        <w:tc>
          <w:tcPr>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b/>
                <w:bCs/>
                <w:highlight w:val="none"/>
                <w:lang w:eastAsia="zh-CN"/>
              </w:rPr>
            </w:pPr>
            <w:r>
              <w:rPr>
                <w:rFonts w:hint="eastAsia"/>
                <w:b/>
                <w:bCs/>
                <w:highlight w:val="none"/>
                <w:lang w:eastAsia="zh-CN"/>
              </w:rPr>
              <w:t xml:space="preserve">评审因素</w:t>
            </w:r>
            <w:r/>
          </w:p>
        </w:tc>
        <w:tc>
          <w:tcPr>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b/>
                <w:bCs/>
                <w:highlight w:val="none"/>
                <w:lang w:eastAsia="zh-CN"/>
              </w:rPr>
            </w:pPr>
            <w:r>
              <w:rPr>
                <w:rFonts w:hint="eastAsia"/>
                <w:b/>
                <w:bCs/>
                <w:highlight w:val="none"/>
                <w:lang w:eastAsia="zh-CN"/>
              </w:rPr>
              <w:t xml:space="preserve">评审标准</w:t>
            </w:r>
            <w:r/>
          </w:p>
        </w:tc>
      </w:tr>
      <w:tr>
        <w:trPr>
          <w:jc w:val="center"/>
          <w:trHeight w:val="90"/>
        </w:trPr>
        <w:tc>
          <w:tcPr>
            <w:tcBorders>
              <w:top w:val="single" w:color="auto" w:sz="6" w:space="0"/>
              <w:left w:val="single" w:color="auto" w:sz="6" w:space="0"/>
              <w:right w:val="single" w:color="auto" w:sz="6" w:space="0"/>
            </w:tcBorders>
            <w:tcW w:w="491" w:type="dxa"/>
            <w:vAlign w:val="center"/>
            <w:vMerge w:val="restart"/>
            <w:textDirection w:val="lrTb"/>
            <w:noWrap w:val="false"/>
          </w:tcPr>
          <w:p>
            <w:pPr>
              <w:jc w:val="center"/>
              <w:rPr>
                <w:rFonts w:hint="default"/>
                <w:highlight w:val="none"/>
                <w:lang w:val="en-US" w:eastAsia="zh-CN"/>
              </w:rPr>
            </w:pPr>
            <w:r>
              <w:rPr>
                <w:rFonts w:hint="eastAsia"/>
                <w:highlight w:val="none"/>
                <w:lang w:val="en-US" w:eastAsia="zh-CN"/>
              </w:rPr>
              <w:t xml:space="preserve">25.1.1</w:t>
            </w:r>
            <w:r/>
          </w:p>
        </w:tc>
        <w:tc>
          <w:tcPr>
            <w:tcBorders>
              <w:top w:val="single" w:color="auto" w:sz="6" w:space="0"/>
              <w:left w:val="single" w:color="auto" w:sz="6" w:space="0"/>
              <w:right w:val="single" w:color="auto" w:sz="6" w:space="0"/>
            </w:tcBorders>
            <w:tcW w:w="477" w:type="dxa"/>
            <w:vAlign w:val="center"/>
            <w:vMerge w:val="restart"/>
            <w:textDirection w:val="lrTb"/>
            <w:noWrap w:val="false"/>
          </w:tcPr>
          <w:p>
            <w:pPr>
              <w:jc w:val="center"/>
              <w:rPr>
                <w:rFonts w:hint="eastAsia"/>
                <w:highlight w:val="none"/>
                <w:lang w:eastAsia="zh-CN"/>
              </w:rPr>
            </w:pPr>
            <w:r>
              <w:rPr>
                <w:rFonts w:hint="eastAsia"/>
                <w:highlight w:val="none"/>
                <w:lang w:eastAsia="zh-CN"/>
              </w:rPr>
              <w:t xml:space="preserve">资格审查</w:t>
            </w:r>
            <w:r/>
          </w:p>
        </w:tc>
        <w:tc>
          <w:tcPr>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highlight w:val="none"/>
                <w:lang w:eastAsia="zh-CN"/>
              </w:rPr>
            </w:pPr>
            <w:r>
              <w:rPr>
                <w:rFonts w:hint="eastAsia"/>
                <w:highlight w:val="none"/>
                <w:lang w:eastAsia="zh-CN"/>
              </w:rPr>
              <w:t xml:space="preserve">基本资格条件的承诺</w:t>
            </w:r>
            <w:r/>
          </w:p>
        </w:tc>
        <w:tc>
          <w:tcPr>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highlight w:val="none"/>
                <w:lang w:eastAsia="zh-CN"/>
              </w:rPr>
            </w:pPr>
            <w:r>
              <w:rPr>
                <w:rFonts w:hint="eastAsia"/>
                <w:highlight w:val="none"/>
                <w:lang w:eastAsia="zh-CN"/>
              </w:rPr>
              <w:t xml:space="preserve">根据投标人提供的承诺函，内容完整且具有法人及法定代表人的印章</w:t>
            </w:r>
            <w:r/>
          </w:p>
        </w:tc>
      </w:tr>
      <w:tr>
        <w:trPr>
          <w:jc w:val="center"/>
          <w:trHeight w:val="312"/>
        </w:trPr>
        <w:tc>
          <w:tcPr>
            <w:tcBorders>
              <w:left w:val="single" w:color="auto" w:sz="6" w:space="0"/>
              <w:right w:val="single" w:color="auto" w:sz="6" w:space="0"/>
            </w:tcBorders>
            <w:tcW w:w="491"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tcBorders>
              <w:left w:val="single" w:color="auto" w:sz="6" w:space="0"/>
              <w:right w:val="single" w:color="auto" w:sz="6" w:space="0"/>
            </w:tcBorders>
            <w:tcW w:w="477"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highlight w:val="none"/>
                <w:lang w:eastAsia="zh-CN"/>
              </w:rPr>
            </w:pPr>
            <w:r>
              <w:rPr>
                <w:rFonts w:hint="eastAsia"/>
                <w:highlight w:val="none"/>
                <w:lang w:eastAsia="zh-CN"/>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highlight w:val="none"/>
                <w:lang w:eastAsia="zh-CN"/>
              </w:rPr>
            </w:pPr>
            <w:r>
              <w:rPr>
                <w:rFonts w:hint="eastAsia"/>
                <w:highlight w:val="none"/>
                <w:lang w:eastAsia="zh-CN"/>
              </w:rPr>
              <w:t xml:space="preserve">详见公告。</w:t>
            </w:r>
            <w:r/>
          </w:p>
        </w:tc>
      </w:tr>
      <w:tr>
        <w:trPr>
          <w:jc w:val="center"/>
          <w:trHeight w:val="366"/>
        </w:trPr>
        <w:tc>
          <w:tcPr>
            <w:gridSpan w:val="4"/>
            <w:tcBorders>
              <w:top w:val="single" w:color="auto" w:sz="6" w:space="0"/>
              <w:left w:val="single" w:color="auto" w:sz="6" w:space="0"/>
              <w:bottom w:val="single" w:color="auto" w:sz="6" w:space="0"/>
              <w:right w:val="single" w:color="auto" w:sz="6" w:space="0"/>
            </w:tcBorders>
            <w:tcW w:w="8439" w:type="dxa"/>
            <w:vAlign w:val="center"/>
            <w:textDirection w:val="lrTb"/>
            <w:noWrap w:val="false"/>
          </w:tcPr>
          <w:p>
            <w:pPr>
              <w:jc w:val="center"/>
              <w:rPr>
                <w:rFonts w:hint="eastAsia"/>
                <w:highlight w:val="none"/>
                <w:lang w:eastAsia="zh-CN"/>
              </w:rPr>
            </w:pPr>
            <w:r>
              <w:rPr>
                <w:rFonts w:hint="eastAsia"/>
                <w:highlight w:val="none"/>
                <w:lang w:val="en-US" w:eastAsia="zh-CN"/>
              </w:rPr>
              <w:t xml:space="preserve">25.</w:t>
            </w:r>
            <w:r>
              <w:rPr>
                <w:rFonts w:hint="eastAsia"/>
                <w:highlight w:val="none"/>
                <w:lang w:eastAsia="zh-CN"/>
              </w:rPr>
              <w:t xml:space="preserve">1.</w:t>
            </w:r>
            <w:r>
              <w:rPr>
                <w:rFonts w:hint="eastAsia"/>
                <w:highlight w:val="none"/>
                <w:lang w:val="en-US" w:eastAsia="zh-CN"/>
              </w:rPr>
              <w:t xml:space="preserve">1</w:t>
            </w:r>
            <w:r>
              <w:rPr>
                <w:rFonts w:hint="eastAsia"/>
                <w:highlight w:val="none"/>
                <w:lang w:eastAsia="zh-CN"/>
              </w:rPr>
              <w:t xml:space="preserve">项评审内容由采购人负责，投标文件不符合评审标准的，作无效标处理。</w:t>
            </w:r>
            <w:r/>
          </w:p>
        </w:tc>
      </w:tr>
      <w:tr>
        <w:trPr>
          <w:jc w:val="center"/>
          <w:trHeight w:val="450"/>
        </w:trPr>
        <w:tc>
          <w:tcPr>
            <w:tcBorders>
              <w:top w:val="single" w:color="auto" w:sz="6" w:space="0"/>
              <w:left w:val="single" w:color="auto" w:sz="6" w:space="0"/>
              <w:bottom w:val="single" w:color="auto" w:sz="6" w:space="0"/>
              <w:right w:val="single" w:color="auto" w:sz="6" w:space="0"/>
            </w:tcBorders>
            <w:tcW w:w="491" w:type="dxa"/>
            <w:vAlign w:val="center"/>
            <w:vMerge w:val="restart"/>
            <w:textDirection w:val="lrTb"/>
            <w:noWrap w:val="false"/>
          </w:tcPr>
          <w:p>
            <w:pPr>
              <w:jc w:val="center"/>
              <w:rPr>
                <w:rFonts w:hint="eastAsia"/>
                <w:highlight w:val="none"/>
                <w:lang w:eastAsia="zh-CN"/>
              </w:rPr>
            </w:pPr>
            <w:r>
              <w:rPr>
                <w:rFonts w:hint="eastAsia"/>
                <w:highlight w:val="none"/>
                <w:lang w:val="en-US" w:eastAsia="zh-CN"/>
              </w:rPr>
              <w:t xml:space="preserve">25.1.</w:t>
            </w:r>
            <w:r>
              <w:rPr>
                <w:rFonts w:hint="eastAsia"/>
                <w:highlight w:val="none"/>
                <w:lang w:eastAsia="zh-CN"/>
              </w:rPr>
              <w:t xml:space="preserve">2</w:t>
            </w:r>
            <w:r/>
          </w:p>
        </w:tc>
        <w:tc>
          <w:tcPr>
            <w:tcBorders>
              <w:top w:val="single" w:color="auto" w:sz="6" w:space="0"/>
              <w:left w:val="single" w:color="auto" w:sz="6" w:space="0"/>
              <w:bottom w:val="single" w:color="auto" w:sz="6" w:space="0"/>
              <w:right w:val="single" w:color="auto" w:sz="6" w:space="0"/>
            </w:tcBorders>
            <w:tcW w:w="477" w:type="dxa"/>
            <w:vAlign w:val="center"/>
            <w:vMerge w:val="restart"/>
            <w:textDirection w:val="lrTb"/>
            <w:noWrap w:val="false"/>
          </w:tcPr>
          <w:p>
            <w:pPr>
              <w:jc w:val="center"/>
              <w:rPr>
                <w:rFonts w:hint="eastAsia"/>
                <w:highlight w:val="none"/>
                <w:lang w:eastAsia="zh-CN"/>
              </w:rPr>
            </w:pPr>
            <w:r>
              <w:rPr>
                <w:rFonts w:hint="eastAsia"/>
                <w:highlight w:val="none"/>
                <w:lang w:eastAsia="zh-CN"/>
              </w:rPr>
              <w:t xml:space="preserve">符合性评审</w:t>
            </w:r>
            <w:r/>
          </w:p>
        </w:tc>
        <w:tc>
          <w:tcPr>
            <w:shd w:val="clear" w:color="auto" w:fill="auto"/>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cs="Times New Roman"/>
                <w:sz w:val="21"/>
                <w:szCs w:val="22"/>
                <w:highlight w:val="none"/>
                <w:lang w:val="en-US" w:eastAsia="zh-CN" w:bidi="ar-SA"/>
              </w:rPr>
              <w:t xml:space="preserve">投标文件的签署</w:t>
            </w:r>
            <w:r/>
          </w:p>
        </w:tc>
        <w:tc>
          <w:tcPr>
            <w:shd w:val="clear" w:color="auto" w:fill="auto"/>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cs="Times New Roman"/>
                <w:sz w:val="21"/>
                <w:szCs w:val="22"/>
                <w:highlight w:val="none"/>
                <w:lang w:val="en-US" w:eastAsia="zh-CN" w:bidi="ar-SA"/>
              </w:rPr>
              <w:t xml:space="preserve">按招标文件要求签字盖章；</w:t>
            </w:r>
            <w:r/>
          </w:p>
        </w:tc>
      </w:tr>
      <w:tr>
        <w:trPr>
          <w:jc w:val="center"/>
          <w:trHeight w:val="260"/>
        </w:trPr>
        <w:tc>
          <w:tcPr>
            <w:tcBorders>
              <w:top w:val="single" w:color="auto" w:sz="6" w:space="0"/>
              <w:left w:val="single" w:color="auto" w:sz="6" w:space="0"/>
              <w:bottom w:val="single" w:color="auto" w:sz="6" w:space="0"/>
              <w:right w:val="single" w:color="auto" w:sz="6" w:space="0"/>
            </w:tcBorders>
            <w:tcW w:w="491"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shd w:val="clear" w:color="auto" w:fill="auto"/>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报价</w:t>
            </w:r>
            <w:r/>
          </w:p>
        </w:tc>
        <w:tc>
          <w:tcPr>
            <w:shd w:val="clear" w:color="auto" w:fill="auto"/>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有且只有一个有效报价；未超过最高限价；</w:t>
            </w:r>
            <w:r/>
          </w:p>
        </w:tc>
      </w:tr>
      <w:tr>
        <w:trPr>
          <w:jc w:val="center"/>
          <w:trHeight w:val="270"/>
        </w:trPr>
        <w:tc>
          <w:tcPr>
            <w:tcBorders>
              <w:top w:val="single" w:color="auto" w:sz="6" w:space="0"/>
              <w:left w:val="single" w:color="auto" w:sz="6" w:space="0"/>
              <w:bottom w:val="single" w:color="auto" w:sz="6" w:space="0"/>
              <w:right w:val="single" w:color="auto" w:sz="6" w:space="0"/>
            </w:tcBorders>
            <w:tcW w:w="491"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shd w:val="clear" w:color="auto" w:fill="auto"/>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合同履行期限</w:t>
            </w:r>
            <w:r/>
          </w:p>
        </w:tc>
        <w:tc>
          <w:tcPr>
            <w:shd w:val="clear" w:color="auto" w:fill="auto"/>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符合第一章招标公告规定</w:t>
            </w:r>
            <w:r/>
          </w:p>
        </w:tc>
      </w:tr>
      <w:tr>
        <w:trPr>
          <w:jc w:val="center"/>
          <w:trHeight w:val="90"/>
        </w:trPr>
        <w:tc>
          <w:tcPr>
            <w:tcBorders>
              <w:top w:val="single" w:color="auto" w:sz="6" w:space="0"/>
              <w:left w:val="single" w:color="auto" w:sz="6" w:space="0"/>
              <w:bottom w:val="single" w:color="auto" w:sz="6" w:space="0"/>
              <w:right w:val="single" w:color="auto" w:sz="6" w:space="0"/>
            </w:tcBorders>
            <w:tcW w:w="491"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shd w:val="clear" w:color="auto" w:fill="auto"/>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投标有效期</w:t>
            </w:r>
            <w:r/>
          </w:p>
        </w:tc>
        <w:tc>
          <w:tcPr>
            <w:shd w:val="clear" w:color="auto" w:fill="auto"/>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符合第二章“投标人须知”第</w:t>
            </w:r>
            <w:r>
              <w:rPr>
                <w:rFonts w:hint="eastAsia"/>
                <w:highlight w:val="none"/>
                <w:lang w:val="en-US" w:eastAsia="zh-CN"/>
              </w:rPr>
              <w:t xml:space="preserve">15.1</w:t>
            </w:r>
            <w:r>
              <w:rPr>
                <w:rFonts w:hint="eastAsia"/>
                <w:highlight w:val="none"/>
                <w:lang w:eastAsia="zh-CN"/>
              </w:rPr>
              <w:t xml:space="preserve">项规定</w:t>
            </w:r>
            <w:r/>
          </w:p>
        </w:tc>
      </w:tr>
      <w:tr>
        <w:trPr>
          <w:jc w:val="center"/>
          <w:trHeight w:val="125"/>
        </w:trPr>
        <w:tc>
          <w:tcPr>
            <w:tcBorders>
              <w:top w:val="single" w:color="auto" w:sz="6" w:space="0"/>
              <w:left w:val="single" w:color="auto" w:sz="6" w:space="0"/>
              <w:bottom w:val="single" w:color="auto" w:sz="6" w:space="0"/>
              <w:right w:val="single" w:color="auto" w:sz="6" w:space="0"/>
            </w:tcBorders>
            <w:tcW w:w="491"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center"/>
              <w:rPr>
                <w:rFonts w:hint="eastAsia"/>
                <w:highlight w:val="none"/>
                <w:lang w:eastAsia="zh-CN"/>
              </w:rPr>
            </w:pPr>
            <w:r>
              <w:rPr>
                <w:rFonts w:hint="eastAsia"/>
                <w:highlight w:val="none"/>
                <w:lang w:eastAsia="zh-CN"/>
              </w:rPr>
            </w:r>
            <w:r/>
          </w:p>
        </w:tc>
        <w:tc>
          <w:tcPr>
            <w:shd w:val="clear" w:color="auto" w:fill="auto"/>
            <w:tcBorders>
              <w:top w:val="single" w:color="auto" w:sz="6" w:space="0"/>
              <w:left w:val="single" w:color="auto" w:sz="6" w:space="0"/>
              <w:bottom w:val="single" w:color="auto" w:sz="6" w:space="0"/>
              <w:right w:val="single" w:color="auto" w:sz="6" w:space="0"/>
            </w:tcBorders>
            <w:tcW w:w="2525"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偏离</w:t>
            </w:r>
            <w:r/>
          </w:p>
        </w:tc>
        <w:tc>
          <w:tcPr>
            <w:shd w:val="clear" w:color="auto" w:fill="auto"/>
            <w:tcBorders>
              <w:top w:val="single" w:color="auto" w:sz="6" w:space="0"/>
              <w:left w:val="single" w:color="auto" w:sz="6" w:space="0"/>
              <w:bottom w:val="single" w:color="auto" w:sz="6" w:space="0"/>
              <w:right w:val="single" w:color="auto" w:sz="6" w:space="0"/>
            </w:tcBorders>
            <w:tcW w:w="4946" w:type="dxa"/>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highlight w:val="none"/>
                <w:lang w:eastAsia="zh-CN"/>
              </w:rPr>
              <w:t xml:space="preserve">符合第二章“投标人须知”第</w:t>
            </w:r>
            <w:r>
              <w:rPr>
                <w:rFonts w:hint="eastAsia"/>
                <w:highlight w:val="none"/>
                <w:lang w:val="en-US" w:eastAsia="zh-CN"/>
              </w:rPr>
              <w:t xml:space="preserve">25.2</w:t>
            </w:r>
            <w:r>
              <w:rPr>
                <w:rFonts w:hint="eastAsia"/>
                <w:highlight w:val="none"/>
                <w:lang w:eastAsia="zh-CN"/>
              </w:rPr>
              <w:t xml:space="preserve">项规定</w:t>
            </w:r>
            <w:r/>
          </w:p>
        </w:tc>
      </w:tr>
      <w:tr>
        <w:trPr>
          <w:jc w:val="center"/>
          <w:trHeight w:val="491"/>
        </w:trPr>
        <w:tc>
          <w:tcPr>
            <w:gridSpan w:val="4"/>
            <w:tcBorders>
              <w:top w:val="single" w:color="auto" w:sz="6" w:space="0"/>
              <w:left w:val="single" w:color="auto" w:sz="6" w:space="0"/>
              <w:bottom w:val="single" w:color="auto" w:sz="6" w:space="0"/>
              <w:right w:val="single" w:color="auto" w:sz="6" w:space="0"/>
            </w:tcBorders>
            <w:tcW w:w="8439" w:type="dxa"/>
            <w:vAlign w:val="center"/>
            <w:textDirection w:val="lrTb"/>
            <w:noWrap w:val="false"/>
          </w:tcPr>
          <w:p>
            <w:pPr>
              <w:jc w:val="center"/>
              <w:rPr>
                <w:rFonts w:hint="eastAsia"/>
                <w:highlight w:val="none"/>
                <w:lang w:eastAsia="zh-CN"/>
              </w:rPr>
            </w:pPr>
            <w:r>
              <w:rPr>
                <w:rFonts w:hint="eastAsia"/>
                <w:highlight w:val="none"/>
                <w:lang w:val="en-US" w:eastAsia="zh-CN"/>
              </w:rPr>
              <w:t xml:space="preserve">25.1.</w:t>
            </w:r>
            <w:r>
              <w:rPr>
                <w:rFonts w:hint="eastAsia"/>
                <w:highlight w:val="none"/>
                <w:lang w:eastAsia="zh-CN"/>
              </w:rPr>
              <w:t xml:space="preserve">2项评审内容由评标委员会负责，投标文件不符合评审标准的，作无效标处理。</w:t>
            </w:r>
            <w:r/>
          </w:p>
        </w:tc>
      </w:tr>
    </w:tbl>
    <w:p>
      <w:pPr>
        <w:ind w:firstLine="480"/>
        <w:spacing w:line="400" w:lineRule="exact"/>
        <w:rPr>
          <w:rFonts w:hint="eastAsia" w:ascii="宋体" w:hAnsi="宋体"/>
          <w:bCs/>
          <w:color w:val="000000"/>
          <w:sz w:val="24"/>
          <w:szCs w:val="21"/>
          <w:highlight w:val="none"/>
          <w:lang w:eastAsia="zh-CN"/>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lang w:eastAsia="zh-CN"/>
        </w:rPr>
        <w:t xml:space="preserve">具体详见下表：</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.1.3未通过资格审查或符合性审查的投标人，</w:t>
      </w:r>
      <w:r>
        <w:rPr>
          <w:rFonts w:hint="eastAsia" w:ascii="宋体" w:hAnsi="宋体"/>
          <w:bCs/>
          <w:color w:val="000000"/>
          <w:sz w:val="24"/>
          <w:szCs w:val="21"/>
          <w:highlight w:val="none"/>
          <w:lang w:eastAsia="zh-CN"/>
        </w:rPr>
        <w:t xml:space="preserve">采购人或代理机构</w:t>
      </w:r>
      <w:r>
        <w:rPr>
          <w:rFonts w:hint="eastAsia" w:ascii="宋体" w:hAnsi="宋体"/>
          <w:bCs/>
          <w:color w:val="000000"/>
          <w:sz w:val="24"/>
          <w:szCs w:val="21"/>
          <w:highlight w:val="none"/>
        </w:rPr>
        <w:t xml:space="preserve">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w:t>
      </w:r>
      <w:r>
        <w:rPr>
          <w:rFonts w:hint="eastAsia" w:ascii="宋体" w:hAnsi="宋体"/>
          <w:bCs/>
          <w:sz w:val="24"/>
          <w:szCs w:val="21"/>
          <w:highlight w:val="none"/>
          <w:lang w:eastAsia="zh-CN"/>
        </w:rPr>
        <w:t xml:space="preserve">采购人或代理机构</w:t>
      </w:r>
      <w:r>
        <w:rPr>
          <w:rFonts w:hint="eastAsia" w:ascii="宋体" w:hAnsi="宋体"/>
          <w:bCs/>
          <w:sz w:val="24"/>
          <w:szCs w:val="21"/>
          <w:highlight w:val="none"/>
        </w:rPr>
        <w:t xml:space="preserve">将不再告知未通过资格审查或符合性审查的原因。</w:t>
      </w:r>
      <w:r/>
    </w:p>
    <w:p>
      <w:pPr>
        <w:ind w:firstLine="480"/>
        <w:spacing w:line="400" w:lineRule="exact"/>
        <w:rPr>
          <w:rFonts w:hint="eastAsia"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所谓偏离是指投标文件的内容高于或低于招标文件的相关要求。所谓重大偏离或保留是指与招标文件规定的实质性要求存在负偏离，或者在实质上与招标文件不一致，而且限制了合同中买方和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222" w:name="_Toc20823306"/>
      <w:r/>
      <w:bookmarkStart w:id="223" w:name="_Toc16938550"/>
      <w:r/>
      <w:bookmarkStart w:id="224"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0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w:t>
      </w:r>
      <w:r>
        <w:rPr>
          <w:rFonts w:hint="eastAsia" w:ascii="宋体" w:hAnsi="宋体"/>
          <w:sz w:val="24"/>
          <w:szCs w:val="21"/>
          <w:highlight w:val="none"/>
          <w:lang w:eastAsia="zh-CN"/>
        </w:rPr>
        <w:t xml:space="preserve">采购人或代理机构</w:t>
      </w:r>
      <w:r>
        <w:rPr>
          <w:rFonts w:hint="eastAsia" w:ascii="宋体" w:hAnsi="宋体"/>
          <w:sz w:val="24"/>
          <w:szCs w:val="21"/>
          <w:highlight w:val="none"/>
        </w:rPr>
        <w:t xml:space="preserve">及评标委员会联系。</w:t>
      </w:r>
      <w:r/>
    </w:p>
    <w:p>
      <w:pPr>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25.8 异常低价投标审查</w:t>
      </w:r>
      <w:r/>
    </w:p>
    <w:p>
      <w:pPr>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25.8.1评标过程中出现下列情形之一的，评标委员会应当启动异常低价投标审查程序：</w:t>
      </w:r>
      <w:r/>
    </w:p>
    <w:p>
      <w:pPr>
        <w:ind w:firstLine="420"/>
        <w:spacing w:line="400" w:lineRule="exact"/>
        <w:rPr>
          <w:rFonts w:hint="eastAsia" w:ascii="宋体" w:hAnsi="宋体"/>
          <w:b w:val="0"/>
          <w:bCs w:val="0"/>
          <w:color w:val="0000ff"/>
          <w:sz w:val="24"/>
          <w:szCs w:val="21"/>
          <w:highlight w:val="none"/>
        </w:rPr>
      </w:pP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1</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报价低于全部通过符合性审查供应商投标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报价平均值50%的，即投标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报价&lt;全部通过符合性审查供应商投标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报价平均值×50%；</w:t>
      </w:r>
      <w:r/>
    </w:p>
    <w:p>
      <w:pPr>
        <w:ind w:firstLine="420"/>
        <w:spacing w:line="400" w:lineRule="exact"/>
        <w:rPr>
          <w:rFonts w:hint="eastAsia" w:ascii="宋体" w:hAnsi="宋体"/>
          <w:b w:val="0"/>
          <w:bCs w:val="0"/>
          <w:color w:val="0000ff"/>
          <w:sz w:val="24"/>
          <w:szCs w:val="21"/>
          <w:highlight w:val="none"/>
        </w:rPr>
      </w:pP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2</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报价低于通过符合性审查的次低报价供应商投标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报价50%的，即投标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报价&lt;通过符合性审查的次低报价供应商投标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报价×50%；</w:t>
      </w:r>
      <w:r/>
    </w:p>
    <w:p>
      <w:pPr>
        <w:ind w:firstLine="420"/>
        <w:spacing w:line="400" w:lineRule="exact"/>
        <w:rPr>
          <w:rFonts w:hint="eastAsia" w:ascii="宋体" w:hAnsi="宋体"/>
          <w:b w:val="0"/>
          <w:bCs w:val="0"/>
          <w:color w:val="0000ff"/>
          <w:sz w:val="24"/>
          <w:szCs w:val="21"/>
          <w:highlight w:val="none"/>
        </w:rPr>
      </w:pP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3</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报价低于采购项目最高限价45%的，即投标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报价&lt;采购项目最高限价×45%。</w:t>
      </w:r>
      <w:r/>
    </w:p>
    <w:p>
      <w:pPr>
        <w:ind w:firstLine="420"/>
        <w:spacing w:line="400" w:lineRule="exact"/>
        <w:rPr>
          <w:rFonts w:hint="eastAsia" w:ascii="宋体" w:hAnsi="宋体"/>
          <w:b w:val="0"/>
          <w:bCs w:val="0"/>
          <w:color w:val="0000ff"/>
          <w:sz w:val="24"/>
          <w:szCs w:val="21"/>
          <w:highlight w:val="none"/>
          <w:lang w:val="en-US" w:eastAsia="zh-CN"/>
        </w:rPr>
      </w:pP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lang w:val="en-US" w:eastAsia="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val="0"/>
          <w:bCs w:val="0"/>
          <w:color w:val="0000ff"/>
          <w:sz w:val="24"/>
          <w:szCs w:val="21"/>
          <w:highlight w:val="none"/>
        </w:rPr>
      </w:pPr>
      <w:r>
        <w:rPr>
          <w:rFonts w:hint="eastAsia" w:ascii="宋体" w:hAnsi="宋体"/>
          <w:b w:val="0"/>
          <w:bCs w:val="0"/>
          <w:color w:val="0000ff"/>
          <w:sz w:val="24"/>
          <w:szCs w:val="21"/>
          <w:highlight w:val="none"/>
          <w:lang w:val="en-US" w:eastAsia="zh-CN"/>
        </w:rPr>
        <w:t xml:space="preserve">25.8.</w:t>
      </w:r>
      <w:r>
        <w:rPr>
          <w:rFonts w:hint="eastAsia" w:ascii="宋体" w:hAnsi="宋体"/>
          <w:b w:val="0"/>
          <w:bCs w:val="0"/>
          <w:color w:val="0000ff"/>
          <w:sz w:val="24"/>
          <w:szCs w:val="21"/>
          <w:highlight w:val="none"/>
        </w:rPr>
        <w:t xml:space="preserve">2</w:t>
      </w:r>
      <w:r>
        <w:rPr>
          <w:rFonts w:hint="eastAsia" w:ascii="宋体" w:hAnsi="宋体"/>
          <w:b w:val="0"/>
          <w:bCs w:val="0"/>
          <w:color w:val="0000ff"/>
          <w:sz w:val="24"/>
          <w:szCs w:val="21"/>
          <w:highlight w:val="none"/>
          <w:lang w:eastAsia="zh-CN"/>
        </w:rPr>
        <w:t xml:space="preserve">评</w:t>
      </w:r>
      <w:r>
        <w:rPr>
          <w:rFonts w:hint="eastAsia" w:ascii="宋体" w:hAnsi="宋体"/>
          <w:b w:val="0"/>
          <w:bCs w:val="0"/>
          <w:color w:val="0000ff"/>
          <w:sz w:val="24"/>
          <w:szCs w:val="21"/>
          <w:highlight w:val="none"/>
        </w:rPr>
        <w:t xml:space="preserve">审委员会启动异常低价投标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审查后，属于前述第</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1</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项至第</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4</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项情形的，应当要求相关供应商在评审现场合理的时间内对投标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文件一并提交相关书面说明及必要的证明材料的，在评审现场可不再重复提交。</w:t>
      </w:r>
      <w:r/>
    </w:p>
    <w:p>
      <w:pPr>
        <w:ind w:firstLine="420"/>
        <w:spacing w:line="400" w:lineRule="exact"/>
        <w:rPr>
          <w:rFonts w:hint="eastAsia" w:ascii="宋体" w:hAnsi="宋体"/>
          <w:b w:val="0"/>
          <w:bCs w:val="0"/>
          <w:color w:val="0000ff"/>
          <w:sz w:val="24"/>
          <w:szCs w:val="21"/>
          <w:highlight w:val="none"/>
        </w:rPr>
      </w:pPr>
      <w:r>
        <w:rPr>
          <w:rFonts w:hint="eastAsia" w:ascii="宋体" w:hAnsi="宋体"/>
          <w:b w:val="0"/>
          <w:bCs w:val="0"/>
          <w:color w:val="0000ff"/>
          <w:sz w:val="24"/>
          <w:szCs w:val="21"/>
          <w:highlight w:val="none"/>
        </w:rPr>
        <w:t xml:space="preserve">评审委员会依据专业经验，参考同类项目中标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成交</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价格、类似产品市场价格水平、行业人工费用标准、国家有关部门指导行业协会发布的行业平均成本等情况，对报价合理性进行判断。投标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供应商不能提供书面说明、证明材料，或者提供的书面说明、证明材料不能证明其报价合理性的，评审委员会应当将其作为无效投标</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响应</w:t>
      </w:r>
      <w:r>
        <w:rPr>
          <w:rFonts w:hint="eastAsia" w:ascii="宋体" w:hAnsi="宋体"/>
          <w:b w:val="0"/>
          <w:bCs w:val="0"/>
          <w:color w:val="0000ff"/>
          <w:sz w:val="24"/>
          <w:szCs w:val="21"/>
          <w:highlight w:val="none"/>
          <w:lang w:eastAsia="zh-CN"/>
        </w:rPr>
        <w:t xml:space="preserve">）</w:t>
      </w:r>
      <w:r>
        <w:rPr>
          <w:rFonts w:hint="eastAsia" w:ascii="宋体" w:hAnsi="宋体"/>
          <w:b w:val="0"/>
          <w:bCs w:val="0"/>
          <w:color w:val="0000ff"/>
          <w:sz w:val="24"/>
          <w:szCs w:val="21"/>
          <w:highlight w:val="none"/>
        </w:rPr>
        <w:t xml:space="preserve">处理。</w:t>
      </w:r>
      <w:r/>
    </w:p>
    <w:p>
      <w:pPr>
        <w:ind w:firstLine="420"/>
        <w:keepLines/>
        <w:keepNext/>
        <w:spacing w:line="400" w:lineRule="exact"/>
        <w:rPr>
          <w:rFonts w:hint="eastAsia" w:ascii="Arial" w:hAnsi="Arial" w:eastAsia="黑体" w:cs="Arial"/>
          <w:sz w:val="28"/>
          <w:szCs w:val="28"/>
          <w:highlight w:val="none"/>
        </w:rPr>
        <w:outlineLvl w:val="1"/>
      </w:pPr>
      <w:r/>
      <w:bookmarkStart w:id="225" w:name="_Toc310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222"/>
      <w:r/>
      <w:bookmarkEnd w:id="223"/>
      <w:r/>
      <w:bookmarkEnd w:id="224"/>
      <w:r>
        <w:rPr>
          <w:rFonts w:hint="eastAsia" w:ascii="Arial" w:hAnsi="Arial" w:eastAsia="黑体" w:cs="Arial"/>
          <w:sz w:val="28"/>
          <w:szCs w:val="28"/>
          <w:highlight w:val="none"/>
        </w:rPr>
        <w:t xml:space="preserve">无效投标条款和废标条款</w:t>
      </w:r>
      <w:bookmarkEnd w:id="225"/>
      <w:r/>
      <w:r/>
    </w:p>
    <w:p>
      <w:pPr>
        <w:ind w:left="478"/>
        <w:spacing w:line="400" w:lineRule="exact"/>
        <w:rPr>
          <w:rFonts w:hint="eastAsia" w:ascii="宋体" w:hAnsi="宋体"/>
          <w:bCs/>
          <w:sz w:val="24"/>
          <w:szCs w:val="21"/>
          <w:highlight w:val="none"/>
        </w:rPr>
        <w:outlineLvl w:val="2"/>
      </w:pPr>
      <w:r/>
      <w:bookmarkStart w:id="226" w:name="_Toc26102"/>
      <w:r/>
      <w:bookmarkStart w:id="227" w:name="_Toc16938551"/>
      <w:r/>
      <w:bookmarkStart w:id="228" w:name="_Toc513029235"/>
      <w:r/>
      <w:bookmarkStart w:id="229" w:name="_Toc20823307"/>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bookmarkEnd w:id="226"/>
      <w:r/>
      <w:r/>
    </w:p>
    <w:p>
      <w:pPr>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00" w:lineRule="exact"/>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投标人未按照招标文件</w:t>
      </w:r>
      <w:r>
        <w:rPr>
          <w:rFonts w:hint="eastAsia" w:ascii="宋体" w:hAnsi="宋体"/>
          <w:bCs/>
          <w:color w:val="000000"/>
          <w:sz w:val="24"/>
          <w:szCs w:val="21"/>
          <w:highlight w:val="none"/>
        </w:rPr>
        <w:t xml:space="preserve">要求上传电子投标文件的。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投标文件含有采购人不能接受的附加条件的。</w:t>
      </w:r>
      <w:r/>
    </w:p>
    <w:p>
      <w:pPr>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26.1.10评标委员会按照本招标文件规定对投标人进行异常低价投标审查后，认为投标人不能证明其报价合理性的。</w:t>
      </w:r>
      <w:r/>
    </w:p>
    <w:p>
      <w:pPr>
        <w:ind w:firstLine="560"/>
        <w:spacing w:line="400" w:lineRule="exact"/>
        <w:rPr>
          <w:rFonts w:hint="eastAsia" w:ascii="方正魏碑_GBK" w:hAnsi="方正魏碑_GBK" w:eastAsia="方正魏碑_GBK" w:cs="方正魏碑_GBK"/>
          <w:bCs/>
          <w:color w:val="ff0000"/>
          <w:sz w:val="24"/>
          <w:szCs w:val="24"/>
          <w:highlight w:val="none"/>
        </w:rPr>
      </w:pPr>
      <w:r>
        <w:rPr>
          <w:rFonts w:hint="eastAsia" w:ascii="宋体" w:hAnsi="宋体" w:eastAsia="宋体" w:cs="宋体"/>
          <w:bCs/>
          <w:color w:val="ff0000"/>
          <w:sz w:val="24"/>
          <w:szCs w:val="24"/>
          <w:highlight w:val="none"/>
        </w:rPr>
        <w:t xml:space="preserve">26.1.11如本项目采购产品被财政部、</w:t>
      </w:r>
      <w:r>
        <w:rPr>
          <w:rFonts w:hint="eastAsia" w:ascii="宋体" w:hAnsi="宋体" w:eastAsia="宋体" w:cs="宋体"/>
          <w:bCs/>
          <w:color w:val="ff0000"/>
          <w:sz w:val="24"/>
          <w:szCs w:val="24"/>
          <w:highlight w:val="none"/>
          <w:lang w:eastAsia="zh-CN"/>
        </w:rPr>
        <w:t xml:space="preserve">国家发展改革委</w:t>
      </w:r>
      <w:r>
        <w:rPr>
          <w:rFonts w:hint="eastAsia" w:ascii="宋体" w:hAnsi="宋体" w:eastAsia="宋体" w:cs="宋体"/>
          <w:bCs/>
          <w:color w:val="ff0000"/>
          <w:sz w:val="24"/>
          <w:szCs w:val="24"/>
          <w:highlight w:val="none"/>
        </w:rPr>
        <w:t xml:space="preserve">列入“节能产品品目清单”强制采购范</w:t>
      </w:r>
      <w:r>
        <w:rPr>
          <w:rFonts w:hint="eastAsia" w:ascii="方正魏碑_GBK" w:hAnsi="方正魏碑_GBK" w:eastAsia="方正魏碑_GBK" w:cs="方正魏碑_GBK"/>
          <w:bCs/>
          <w:color w:val="ff0000"/>
          <w:sz w:val="24"/>
          <w:szCs w:val="24"/>
          <w:highlight w:val="none"/>
        </w:rPr>
        <w:t xml:space="preserve">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投标文件未按照招标文件要求</w:t>
      </w:r>
      <w:r>
        <w:rPr>
          <w:rFonts w:hint="eastAsia" w:ascii="宋体" w:hAnsi="宋体"/>
          <w:bCs/>
          <w:color w:val="000000"/>
          <w:sz w:val="24"/>
          <w:szCs w:val="21"/>
          <w:highlight w:val="none"/>
          <w:lang w:val="en-US" w:eastAsia="zh-CN"/>
        </w:rPr>
        <w:t xml:space="preserve">签字盖章或者投标文件中的任何重要的插字、涂改和增删，修改处须未提供法定代表人（其他组织须为负责人）签章或签字的</w:t>
      </w:r>
      <w:r>
        <w:rPr>
          <w:rFonts w:hint="eastAsia" w:ascii="宋体" w:hAnsi="宋体"/>
          <w:bCs/>
          <w:color w:val="000000"/>
          <w:sz w:val="24"/>
          <w:szCs w:val="21"/>
          <w:highlight w:val="none"/>
        </w:rPr>
        <w:t xml:space="preserve">。</w:t>
      </w:r>
      <w:r/>
    </w:p>
    <w:p>
      <w:pPr>
        <w:ind w:firstLine="480"/>
        <w:spacing w:line="4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26.1.13投标人所投标产品不符合招标文件中所列国家强制性标准的。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w:t>
      </w:r>
      <w:r>
        <w:rPr>
          <w:rFonts w:hint="eastAsia" w:ascii="宋体" w:hAnsi="宋体"/>
          <w:bCs/>
          <w:color w:val="000000"/>
          <w:sz w:val="24"/>
          <w:szCs w:val="21"/>
          <w:highlight w:val="none"/>
          <w:lang w:eastAsia="zh-CN"/>
        </w:rPr>
        <w:t xml:space="preserve">属于</w:t>
      </w:r>
      <w:r>
        <w:rPr>
          <w:rFonts w:hint="eastAsia" w:ascii="宋体" w:hAnsi="宋体"/>
          <w:bCs/>
          <w:color w:val="000000"/>
          <w:sz w:val="24"/>
          <w:szCs w:val="21"/>
          <w:highlight w:val="none"/>
        </w:rPr>
        <w:t xml:space="preserve">无效投标的情形。</w:t>
      </w:r>
      <w:r/>
    </w:p>
    <w:p>
      <w:pPr>
        <w:ind w:left="478"/>
        <w:spacing w:line="400" w:lineRule="exact"/>
        <w:rPr>
          <w:rFonts w:hint="eastAsia" w:ascii="宋体" w:hAnsi="宋体"/>
          <w:bCs/>
          <w:color w:val="000000"/>
          <w:sz w:val="24"/>
          <w:szCs w:val="21"/>
          <w:highlight w:val="none"/>
        </w:rPr>
        <w:outlineLvl w:val="2"/>
      </w:pPr>
      <w:r/>
      <w:bookmarkStart w:id="230" w:name="_Toc10545"/>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w:t>
      </w:r>
      <w:bookmarkEnd w:id="230"/>
      <w:r>
        <w:rPr>
          <w:rFonts w:hint="eastAsia" w:ascii="宋体" w:hAnsi="宋体"/>
          <w:bCs/>
          <w:color w:val="000000"/>
          <w:sz w:val="24"/>
          <w:szCs w:val="21"/>
          <w:highlight w:val="none"/>
        </w:rPr>
        <w:t xml:space="preserve"> </w:t>
      </w:r>
      <w:r/>
    </w:p>
    <w:p>
      <w:pPr>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p>
    <w:p>
      <w:pPr>
        <w:ind w:left="478"/>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t xml:space="preserve">  </w:t>
      </w:r>
      <w:r/>
    </w:p>
    <w:p>
      <w:pPr>
        <w:ind w:left="478"/>
        <w:spacing w:line="400" w:lineRule="exact"/>
        <w:rPr>
          <w:rFonts w:hint="eastAsia" w:ascii="宋体" w:hAnsi="宋体"/>
          <w:bCs/>
          <w:color w:val="000000"/>
          <w:sz w:val="24"/>
          <w:szCs w:val="21"/>
          <w:highlight w:val="none"/>
        </w:rPr>
        <w:outlineLvl w:val="2"/>
      </w:pPr>
      <w:r/>
      <w:bookmarkStart w:id="231" w:name="_Toc10974"/>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bookmarkEnd w:id="231"/>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highlight w:val="none"/>
        </w:rPr>
        <w:outlineLvl w:val="0"/>
      </w:pPr>
      <w:r/>
      <w:bookmarkStart w:id="232" w:name="_Toc120614219"/>
      <w:r/>
      <w:bookmarkStart w:id="233" w:name="_Toc19308"/>
      <w:r/>
      <w:bookmarkStart w:id="234" w:name="_Toc18530"/>
      <w:r/>
      <w:bookmarkStart w:id="235" w:name="_Toc17941"/>
      <w:r>
        <w:rPr>
          <w:rFonts w:hint="eastAsia"/>
          <w:b/>
          <w:bCs/>
          <w:color w:val="000000"/>
          <w:sz w:val="32"/>
          <w:szCs w:val="32"/>
          <w:highlight w:val="none"/>
        </w:rPr>
        <w:t xml:space="preserve">六、</w:t>
      </w:r>
      <w:bookmarkEnd w:id="227"/>
      <w:r/>
      <w:bookmarkEnd w:id="228"/>
      <w:r/>
      <w:bookmarkEnd w:id="229"/>
      <w:r>
        <w:rPr>
          <w:rFonts w:hint="eastAsia"/>
          <w:b/>
          <w:bCs/>
          <w:color w:val="000000"/>
          <w:sz w:val="32"/>
          <w:szCs w:val="32"/>
          <w:highlight w:val="none"/>
        </w:rPr>
        <w:t xml:space="preserve">定标</w:t>
      </w:r>
      <w:bookmarkEnd w:id="232"/>
      <w:r/>
      <w:bookmarkEnd w:id="233"/>
      <w:r/>
      <w:bookmarkEnd w:id="234"/>
      <w:r/>
      <w:bookmarkEnd w:id="235"/>
      <w:r/>
      <w:r/>
    </w:p>
    <w:p>
      <w:pPr>
        <w:ind w:firstLine="600"/>
        <w:keepLines/>
        <w:keepNext/>
        <w:spacing w:line="400" w:lineRule="exact"/>
        <w:rPr>
          <w:rFonts w:hint="eastAsia" w:ascii="黑体" w:hAnsi="宋体" w:eastAsia="黑体"/>
          <w:bCs/>
          <w:color w:val="000000"/>
          <w:sz w:val="30"/>
          <w:szCs w:val="30"/>
          <w:highlight w:val="none"/>
        </w:rPr>
        <w:outlineLvl w:val="1"/>
      </w:pPr>
      <w:r/>
      <w:bookmarkStart w:id="236" w:name="_Toc513029238"/>
      <w:r/>
      <w:bookmarkStart w:id="237" w:name="_Toc16938554"/>
      <w:r/>
      <w:bookmarkStart w:id="238" w:name="_Toc20823310"/>
      <w:r/>
      <w:bookmarkStart w:id="239" w:name="_Toc8689"/>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236"/>
      <w:r>
        <w:rPr>
          <w:rFonts w:hint="eastAsia" w:ascii="黑体" w:hAnsi="宋体" w:eastAsia="黑体"/>
          <w:bCs/>
          <w:color w:val="000000"/>
          <w:sz w:val="30"/>
          <w:szCs w:val="30"/>
          <w:highlight w:val="none"/>
        </w:rPr>
        <w:t xml:space="preserve">确定</w:t>
      </w:r>
      <w:bookmarkEnd w:id="237"/>
      <w:r/>
      <w:bookmarkEnd w:id="238"/>
      <w:r>
        <w:rPr>
          <w:rFonts w:hint="eastAsia" w:ascii="黑体" w:hAnsi="宋体" w:eastAsia="黑体"/>
          <w:bCs/>
          <w:color w:val="000000"/>
          <w:sz w:val="30"/>
          <w:szCs w:val="30"/>
          <w:highlight w:val="none"/>
        </w:rPr>
        <w:t xml:space="preserve">中标单位</w:t>
      </w:r>
      <w:bookmarkEnd w:id="239"/>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27.2采购人应根据评委会推荐的中标候选人确定中标供应商。</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行贿或者提供其他不正当利益的。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00" w:lineRule="exact"/>
        <w:rPr>
          <w:rFonts w:ascii="宋体" w:hAnsi="宋体"/>
          <w:color w:val="000000"/>
          <w:sz w:val="24"/>
          <w:szCs w:val="24"/>
          <w:highlight w:val="none"/>
        </w:rPr>
      </w:pPr>
      <w:r/>
      <w:bookmarkStart w:id="240"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27.5.3不同投标人的投标文件载明的项目管理成员或者联系人员为同一人。</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highlight w:val="none"/>
        </w:rPr>
        <w:outlineLvl w:val="1"/>
      </w:pPr>
      <w:r/>
      <w:bookmarkStart w:id="241" w:name="_Toc15108"/>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240"/>
      <w:r/>
      <w:bookmarkEnd w:id="241"/>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或采购人提出质疑。上述应知其权益受到损害之日，是指：</w:t>
      </w:r>
      <w:r/>
    </w:p>
    <w:p>
      <w:pPr>
        <w:ind w:firstLine="480"/>
        <w:spacing w:line="40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p>
    <w:p>
      <w:pPr>
        <w:ind w:firstLine="480"/>
        <w:spacing w:line="400" w:lineRule="exact"/>
        <w:rPr>
          <w:rFonts w:hint="eastAsia"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highlight w:val="none"/>
          <w:lang w:eastAsia="zh-CN"/>
        </w:rPr>
        <w:t xml:space="preserve">采购人或代理机构</w:t>
      </w:r>
      <w:r>
        <w:rPr>
          <w:rFonts w:hint="eastAsia" w:hAnsi="宋体" w:cs="宋体"/>
          <w:color w:val="000000"/>
          <w:sz w:val="24"/>
          <w:szCs w:val="24"/>
          <w:highlight w:val="none"/>
        </w:rPr>
        <w:t xml:space="preserve">、</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hint="eastAsia" w:ascii="宋体" w:hAnsi="宋体"/>
          <w:sz w:val="24"/>
          <w:szCs w:val="24"/>
          <w:highlight w:val="none"/>
          <w:lang w:val="en-US" w:eastAsia="zh-CN"/>
        </w:rPr>
      </w:pPr>
      <w:r>
        <w:rPr>
          <w:rFonts w:ascii="宋体" w:hAnsi="宋体"/>
          <w:sz w:val="24"/>
          <w:szCs w:val="24"/>
          <w:highlight w:val="none"/>
        </w:rPr>
        <w:t xml:space="preserve">28.</w:t>
      </w:r>
      <w:r>
        <w:rPr>
          <w:rFonts w:hint="eastAsia" w:ascii="宋体" w:hAnsi="宋体"/>
          <w:sz w:val="24"/>
          <w:szCs w:val="24"/>
          <w:highlight w:val="none"/>
          <w:lang w:val="en-US" w:eastAsia="zh-CN"/>
        </w:rPr>
        <w:t xml:space="preserve">3</w:t>
      </w:r>
      <w:r>
        <w:rPr>
          <w:rFonts w:hint="eastAsia" w:ascii="宋体" w:hAnsi="宋体"/>
          <w:color w:val="000000"/>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none"/>
        </w:rPr>
      </w:pPr>
      <w:r>
        <w:rPr>
          <w:rFonts w:hint="eastAsia" w:ascii="宋体" w:hAnsi="宋体"/>
          <w:sz w:val="24"/>
          <w:szCs w:val="24"/>
          <w:highlight w:val="none"/>
          <w:lang w:val="en-US" w:eastAsia="zh-CN"/>
        </w:rPr>
        <w:t xml:space="preserve">28.4</w:t>
      </w:r>
      <w:r>
        <w:rPr>
          <w:rFonts w:hint="eastAsia" w:ascii="宋体" w:hAnsi="宋体"/>
          <w:sz w:val="24"/>
          <w:szCs w:val="24"/>
          <w:highlight w:val="none"/>
        </w:rPr>
        <w:t xml:space="preserve">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或代理机构</w:t>
      </w:r>
      <w:r>
        <w:rPr>
          <w:rFonts w:hint="eastAsia" w:ascii="宋体" w:hAnsi="宋体"/>
          <w:sz w:val="24"/>
          <w:szCs w:val="24"/>
          <w:highlight w:val="none"/>
        </w:rPr>
        <w:t xml:space="preserve">只接收以纸质原件形式送达的质疑。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5.1内容不符合《政府采购质疑和投诉办法》第十二条规定的质疑。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5.2超出政府采购法定期限的质疑。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5.3以传真、电子邮件等方式递交的非原件形式的质疑。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highlight w:val="none"/>
        </w:rPr>
        <w:outlineLvl w:val="1"/>
      </w:pPr>
      <w:r/>
      <w:bookmarkStart w:id="242" w:name="_Toc2646"/>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bookmarkEnd w:id="242"/>
      <w:r/>
      <w:r/>
    </w:p>
    <w:p>
      <w:pPr>
        <w:ind w:firstLine="60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l自中标人确定之日起2个工作日内，在</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规定的媒介上公告中标结果，公告期限为1个工作日。</w:t>
      </w:r>
      <w:r/>
    </w:p>
    <w:p>
      <w:pPr>
        <w:ind w:firstLine="600"/>
        <w:spacing w:line="400" w:lineRule="exact"/>
        <w:rPr>
          <w:rFonts w:hint="eastAsia" w:ascii="宋体" w:hAnsi="宋体"/>
          <w:sz w:val="24"/>
          <w:szCs w:val="24"/>
          <w:highlight w:val="none"/>
        </w:rPr>
      </w:pPr>
      <w:r>
        <w:rPr>
          <w:rFonts w:hint="eastAsia" w:ascii="宋体" w:hAnsi="宋体"/>
          <w:color w:val="000000"/>
          <w:sz w:val="24"/>
          <w:szCs w:val="24"/>
          <w:highlight w:val="none"/>
        </w:rPr>
        <w:t xml:space="preserve">中标结果确定后，</w:t>
      </w:r>
      <w:r>
        <w:rPr>
          <w:rFonts w:hint="eastAsia" w:ascii="宋体" w:hAnsi="宋体"/>
          <w:color w:val="000000"/>
          <w:sz w:val="24"/>
          <w:szCs w:val="24"/>
          <w:highlight w:val="none"/>
          <w:lang w:eastAsia="zh-CN"/>
        </w:rPr>
        <w:t xml:space="preserve">采购人或代理机构</w:t>
      </w:r>
      <w:r>
        <w:rPr>
          <w:rFonts w:hint="eastAsia" w:ascii="宋体" w:hAnsi="宋体"/>
          <w:color w:val="000000"/>
          <w:sz w:val="24"/>
          <w:szCs w:val="24"/>
          <w:highlight w:val="none"/>
        </w:rPr>
        <w:t xml:space="preserve">将向中标供应商发出中标通知书。</w:t>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b/>
          <w:bCs/>
          <w:color w:val="000000"/>
          <w:sz w:val="32"/>
          <w:szCs w:val="32"/>
          <w:highlight w:val="none"/>
        </w:rPr>
        <w:outlineLvl w:val="0"/>
      </w:pPr>
      <w:r/>
      <w:bookmarkStart w:id="243" w:name="_Toc15214"/>
      <w:r/>
      <w:bookmarkStart w:id="244" w:name="_Toc120614220"/>
      <w:r/>
      <w:bookmarkStart w:id="245" w:name="_Toc20297"/>
      <w:r/>
      <w:bookmarkStart w:id="246" w:name="_Toc13869"/>
      <w:r/>
      <w:bookmarkStart w:id="247" w:name="_Toc513029236"/>
      <w:r/>
      <w:bookmarkStart w:id="248" w:name="_Toc20823308"/>
      <w:r/>
      <w:bookmarkStart w:id="249" w:name="_Toc16938552"/>
      <w:r>
        <w:rPr>
          <w:rFonts w:hint="eastAsia"/>
          <w:b/>
          <w:bCs/>
          <w:color w:val="000000"/>
          <w:sz w:val="32"/>
          <w:szCs w:val="32"/>
          <w:highlight w:val="none"/>
        </w:rPr>
        <w:t xml:space="preserve">七、授予合同</w:t>
      </w:r>
      <w:bookmarkEnd w:id="243"/>
      <w:r/>
      <w:bookmarkEnd w:id="244"/>
      <w:r/>
      <w:bookmarkEnd w:id="245"/>
      <w:r/>
      <w:bookmarkEnd w:id="246"/>
      <w:r/>
      <w:bookmarkEnd w:id="247"/>
      <w:bookmarkEnd w:id="248"/>
      <w:bookmarkEnd w:id="249"/>
      <w:r/>
    </w:p>
    <w:p>
      <w:pPr>
        <w:ind w:firstLine="600"/>
        <w:keepLines/>
        <w:keepNext/>
        <w:spacing w:line="400" w:lineRule="exact"/>
        <w:rPr>
          <w:rFonts w:hint="eastAsia" w:ascii="黑体" w:hAnsi="宋体" w:eastAsia="黑体"/>
          <w:bCs/>
          <w:color w:val="000000"/>
          <w:sz w:val="30"/>
          <w:szCs w:val="30"/>
          <w:highlight w:val="none"/>
        </w:rPr>
        <w:outlineLvl w:val="1"/>
      </w:pPr>
      <w:r/>
      <w:bookmarkStart w:id="250" w:name="_Toc16114"/>
      <w:r/>
      <w:bookmarkStart w:id="251" w:name="_Toc20823309"/>
      <w:r/>
      <w:bookmarkStart w:id="252" w:name="_Toc16938553"/>
      <w:r/>
      <w:bookmarkStart w:id="253"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bookmarkEnd w:id="250"/>
      <w:r/>
      <w:r/>
    </w:p>
    <w:p>
      <w:pPr>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w:t>
      </w:r>
      <w:r>
        <w:rPr>
          <w:rFonts w:hint="eastAsia" w:ascii="宋体" w:hAnsi="宋体"/>
          <w:color w:val="000000"/>
          <w:sz w:val="24"/>
          <w:szCs w:val="24"/>
          <w:highlight w:val="none"/>
          <w:u w:val="single"/>
        </w:rPr>
        <w:t xml:space="preserve">三十日</w:t>
      </w:r>
      <w:r>
        <w:rPr>
          <w:rFonts w:hint="eastAsia" w:ascii="宋体" w:hAnsi="宋体"/>
          <w:color w:val="000000"/>
          <w:sz w:val="24"/>
          <w:szCs w:val="24"/>
          <w:highlight w:val="none"/>
        </w:rPr>
        <w:t xml:space="preserve">内，按照招标文件确定的事项与采购人签订政府采购合同。</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cs="Times New Roman"/>
          <w:bCs/>
          <w:color w:val="000000"/>
          <w:sz w:val="30"/>
          <w:szCs w:val="30"/>
          <w:highlight w:val="none"/>
        </w:rPr>
        <w:outlineLvl w:val="1"/>
      </w:pPr>
      <w:r/>
      <w:bookmarkStart w:id="254" w:name="_Toc21556"/>
      <w:r>
        <w:rPr>
          <w:rFonts w:hint="eastAsia" w:ascii="黑体" w:hAnsi="宋体" w:eastAsia="黑体" w:cs="Times New Roman"/>
          <w:bCs/>
          <w:color w:val="000000"/>
          <w:sz w:val="30"/>
          <w:szCs w:val="30"/>
          <w:highlight w:val="none"/>
        </w:rPr>
        <w:t xml:space="preserve">31、货物（包含与货物相关的服务）的追加</w:t>
      </w:r>
      <w:bookmarkEnd w:id="254"/>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251"/>
      <w:bookmarkEnd w:id="252"/>
      <w:bookmarkEnd w:id="253"/>
      <w:r/>
    </w:p>
    <w:p>
      <w:pPr>
        <w:ind w:firstLine="600"/>
        <w:keepLines/>
        <w:keepNext/>
        <w:spacing w:line="400" w:lineRule="exact"/>
        <w:rPr>
          <w:rFonts w:ascii="黑体" w:hAnsi="宋体" w:eastAsia="黑体"/>
          <w:bCs/>
          <w:color w:val="000000"/>
          <w:sz w:val="30"/>
          <w:szCs w:val="30"/>
          <w:highlight w:val="none"/>
        </w:rPr>
        <w:outlineLvl w:val="1"/>
      </w:pPr>
      <w:r/>
      <w:bookmarkStart w:id="255" w:name="_Toc18547"/>
      <w:r/>
      <w:bookmarkStart w:id="256" w:name="_Toc120614221"/>
      <w:r/>
      <w:bookmarkStart w:id="257" w:name="_Toc20823314"/>
      <w:r/>
      <w:bookmarkStart w:id="258" w:name="_Toc479757207"/>
      <w:r/>
      <w:bookmarkStart w:id="259" w:name="_Toc513029242"/>
      <w:r/>
      <w:bookmarkStart w:id="260" w:name="_Toc16938558"/>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bookmarkEnd w:id="255"/>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keepLines/>
        <w:keepNext/>
        <w:spacing w:before="156" w:after="156" w:line="400" w:lineRule="exact"/>
        <w:rPr>
          <w:rFonts w:hint="eastAsia" w:ascii="Times New Roman" w:hAnsi="Times New Roman" w:eastAsia="宋体" w:cs="Times New Roman"/>
          <w:b/>
          <w:bCs/>
          <w:color w:val="000000"/>
          <w:sz w:val="32"/>
          <w:szCs w:val="32"/>
          <w:highlight w:val="none"/>
          <w:lang w:val="en-US" w:eastAsia="zh-CN"/>
        </w:rPr>
        <w:sectPr>
          <w:footnotePr/>
          <w:endnotePr/>
          <w:type w:val="nextPage"/>
          <w:pgSz w:w="11906" w:h="16838" w:orient="portrait"/>
          <w:pgMar w:top="1440" w:right="1797" w:bottom="1440" w:left="1797" w:header="851" w:footer="992" w:gutter="0"/>
          <w:cols w:num="1" w:sep="0" w:space="1701" w:equalWidth="1"/>
          <w:docGrid w:linePitch="360"/>
        </w:sectPr>
        <w:outlineLvl w:val="0"/>
      </w:pPr>
      <w:r/>
      <w:bookmarkStart w:id="261" w:name="_Toc21844"/>
      <w:r/>
      <w:r/>
    </w:p>
    <w:p>
      <w:pPr>
        <w:ind w:firstLine="2640"/>
        <w:jc w:val="left"/>
        <w:keepNext/>
        <w:rPr>
          <w:rFonts w:hint="eastAsia" w:ascii="黑体" w:eastAsia="黑体"/>
          <w:bCs/>
          <w:color w:val="000000"/>
          <w:sz w:val="44"/>
          <w:szCs w:val="28"/>
          <w:highlight w:val="none"/>
        </w:rPr>
        <w:outlineLvl w:val="0"/>
      </w:pPr>
      <w:r/>
      <w:bookmarkStart w:id="262" w:name="_Toc5138"/>
      <w:r>
        <w:rPr>
          <w:rFonts w:hint="eastAsia" w:ascii="黑体" w:eastAsia="黑体"/>
          <w:bCs/>
          <w:color w:val="000000"/>
          <w:sz w:val="44"/>
          <w:szCs w:val="28"/>
          <w:highlight w:val="none"/>
        </w:rPr>
        <w:t xml:space="preserve">第三章  合同</w:t>
      </w:r>
      <w:bookmarkEnd w:id="256"/>
      <w:r/>
      <w:bookmarkEnd w:id="257"/>
      <w:r/>
      <w:bookmarkEnd w:id="258"/>
      <w:r/>
      <w:bookmarkEnd w:id="259"/>
      <w:r/>
      <w:bookmarkEnd w:id="260"/>
      <w:r>
        <w:rPr>
          <w:rFonts w:hint="eastAsia" w:ascii="黑体" w:eastAsia="黑体"/>
          <w:bCs/>
          <w:color w:val="000000"/>
          <w:sz w:val="44"/>
          <w:szCs w:val="28"/>
          <w:highlight w:val="none"/>
        </w:rPr>
        <w:t xml:space="preserve">文本</w:t>
      </w:r>
      <w:bookmarkEnd w:id="261"/>
      <w:r/>
      <w:bookmarkEnd w:id="262"/>
      <w:r/>
      <w:r/>
    </w:p>
    <w:p>
      <w:pPr>
        <w:jc w:val="center"/>
        <w:pageBreakBefore w:val="0"/>
        <w:spacing w:line="360" w:lineRule="auto"/>
        <w:rPr>
          <w:rFonts w:hint="eastAsia" w:ascii="宋体" w:hAnsi="宋体" w:eastAsia="宋体" w:cs="宋体"/>
          <w:b/>
          <w:bCs/>
          <w:sz w:val="24"/>
          <w:szCs w:val="24"/>
          <w:highlight w:val="none"/>
        </w:rPr>
      </w:pPr>
      <w:r/>
      <w:bookmarkStart w:id="263" w:name="_Toc513029243"/>
      <w:r/>
      <w:bookmarkStart w:id="264" w:name="_Toc16938559"/>
      <w:r/>
      <w:bookmarkStart w:id="265" w:name="_Toc20823315"/>
      <w:r/>
      <w:bookmarkStart w:id="266" w:name="_Toc3995"/>
      <w:r/>
      <w:bookmarkStart w:id="267" w:name="_Hlt16619350"/>
      <w:r/>
      <w:bookmarkStart w:id="268" w:name="_Toc20823346"/>
      <w:r/>
      <w:bookmarkStart w:id="269" w:name="_Toc120614244"/>
      <w:r/>
      <w:bookmarkStart w:id="270" w:name="_Toc16938590"/>
      <w:r/>
      <w:bookmarkStart w:id="271" w:name="_Toc462564139"/>
      <w:r/>
      <w:bookmarkStart w:id="272" w:name="_Toc479757211"/>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合同条款表</w:t>
      </w:r>
      <w:r/>
    </w:p>
    <w:tbl>
      <w:tblPr>
        <w:tblStyle w:val="779"/>
        <w:tblpPr w:horzAnchor="page" w:tblpXSpec="center" w:vertAnchor="text" w:tblpY="398" w:leftFromText="180" w:topFromText="0" w:rightFromText="180" w:bottomFromText="0"/>
        <w:tblW w:w="8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8142"/>
      </w:tblGrid>
      <w:tr>
        <w:trPr>
          <w:jc w:val="center"/>
          <w:trHeight w:val="537"/>
          <w:tblHeader/>
        </w:trPr>
        <w:tc>
          <w:tcPr>
            <w:tcW w:w="797" w:type="dxa"/>
            <w:vAlign w:val="center"/>
            <w:textDirection w:val="lrTb"/>
            <w:noWrap w:val="false"/>
          </w:tcPr>
          <w:p>
            <w:pPr>
              <w:ind w:right="-11"/>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8142" w:type="dxa"/>
            <w:vAlign w:val="center"/>
            <w:textDirection w:val="lrTb"/>
            <w:noWrap w:val="false"/>
          </w:tcPr>
          <w:p>
            <w:pPr>
              <w:ind w:right="-11"/>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             容</w:t>
            </w:r>
            <w:r/>
          </w:p>
        </w:tc>
      </w:tr>
      <w:tr>
        <w:trPr>
          <w:jc w:val="center"/>
          <w:trHeight w:val="863"/>
        </w:trPr>
        <w:tc>
          <w:tcPr>
            <w:tcW w:w="797" w:type="dxa"/>
            <w:vAlign w:val="center"/>
            <w:textDirection w:val="lrTb"/>
            <w:noWrap w:val="false"/>
          </w:tcPr>
          <w:p>
            <w:pPr>
              <w:ind w:right="-1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142" w:type="dxa"/>
            <w:vAlign w:val="center"/>
            <w:textDirection w:val="lrTb"/>
            <w:noWrap w:val="false"/>
          </w:tcPr>
          <w:p>
            <w:pPr>
              <w:ind w:right="-11"/>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买方名称：</w:t>
            </w:r>
            <w:r>
              <w:rPr>
                <w:rFonts w:hint="eastAsia" w:ascii="宋体" w:hAnsi="宋体" w:cs="宋体"/>
                <w:sz w:val="24"/>
                <w:szCs w:val="24"/>
                <w:highlight w:val="none"/>
                <w:lang w:eastAsia="zh-CN"/>
              </w:rPr>
              <w:t xml:space="preserve">江苏省泰兴经济开发区管理委员会</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rPr>
              <w:t xml:space="preserve">（签订合同前称招标人）</w:t>
            </w:r>
            <w:r/>
          </w:p>
          <w:p>
            <w:pPr>
              <w:ind w:right="-11"/>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卖方名称：与买方签订合同协议书的当事人</w:t>
            </w:r>
            <w:r/>
          </w:p>
        </w:tc>
      </w:tr>
      <w:tr>
        <w:trPr>
          <w:jc w:val="center"/>
          <w:trHeight w:val="5128"/>
        </w:trPr>
        <w:tc>
          <w:tcPr>
            <w:tcW w:w="797" w:type="dxa"/>
            <w:vAlign w:val="center"/>
            <w:textDirection w:val="lrTb"/>
            <w:noWrap w:val="false"/>
          </w:tcPr>
          <w:p>
            <w:pPr>
              <w:ind w:right="-1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8142" w:type="dxa"/>
            <w:vAlign w:val="center"/>
            <w:textDirection w:val="lrTb"/>
            <w:noWrap w:val="false"/>
          </w:tcPr>
          <w:p>
            <w:pPr>
              <w:ind w:right="-11"/>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履约保证金金额：合同签订前汇入合同总价</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的履约保证金至</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人指定账户</w:t>
            </w:r>
            <w:r/>
          </w:p>
          <w:p>
            <w:pPr>
              <w:ind w:right="-11"/>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币种：人民币</w:t>
            </w:r>
            <w:r/>
          </w:p>
          <w:p>
            <w:pPr>
              <w:ind w:right="-11"/>
              <w:jc w:val="both"/>
              <w:keepLines w:val="0"/>
              <w:keepNext w:val="0"/>
              <w:pageBreakBefore w:val="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履约保证金形式：支票、汇票、本票或者金融机构、担保机构出具的保函、保证保险、电子履约保函等非现金形式提交；</w:t>
            </w:r>
            <w:r/>
          </w:p>
          <w:p>
            <w:pPr>
              <w:ind w:right="-11"/>
              <w:jc w:val="both"/>
              <w:keepLines w:val="0"/>
              <w:keepNext w:val="0"/>
              <w:pageBreakBefore w:val="0"/>
              <w:spacing w:line="400" w:lineRule="exact"/>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right="-11"/>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履约保证金有效期：</w:t>
            </w:r>
            <w:r>
              <w:rPr>
                <w:rFonts w:hint="eastAsia" w:ascii="宋体" w:hAnsi="宋体" w:eastAsia="宋体" w:cs="宋体"/>
                <w:sz w:val="24"/>
                <w:szCs w:val="24"/>
                <w:highlight w:val="none"/>
                <w:lang w:val="zh-CN"/>
              </w:rPr>
              <w:t xml:space="preserve">自提交之日起至项目验收合格止，</w:t>
            </w:r>
            <w:r>
              <w:rPr>
                <w:rFonts w:hint="eastAsia" w:ascii="宋体" w:hAnsi="宋体" w:eastAsia="宋体" w:cs="宋体"/>
                <w:sz w:val="24"/>
                <w:szCs w:val="24"/>
                <w:highlight w:val="none"/>
              </w:rPr>
              <w:t xml:space="preserve">无息退还。</w:t>
            </w:r>
            <w:r/>
          </w:p>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政府采购履约资金扶持政策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中标</w:t>
            </w:r>
            <w:r>
              <w:rPr>
                <w:rFonts w:hint="eastAsia" w:ascii="宋体" w:hAnsi="宋体" w:eastAsia="宋体" w:cs="宋体"/>
                <w:b/>
                <w:bCs/>
                <w:sz w:val="24"/>
                <w:szCs w:val="24"/>
                <w:highlight w:val="none"/>
              </w:rPr>
              <w:t xml:space="preserve">供应商可凭政府采购合同办理融资贷款，详情请见江苏政府采购网“政采贷”专栏。</w:t>
            </w:r>
            <w:r/>
          </w:p>
        </w:tc>
      </w:tr>
      <w:tr>
        <w:trPr>
          <w:jc w:val="center"/>
          <w:trHeight w:val="863"/>
        </w:trPr>
        <w:tc>
          <w:tcPr>
            <w:tcW w:w="797" w:type="dxa"/>
            <w:vAlign w:val="center"/>
            <w:textDirection w:val="lrTb"/>
            <w:noWrap w:val="false"/>
          </w:tcPr>
          <w:p>
            <w:pPr>
              <w:ind w:right="-1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8142"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val="en-US" w:eastAsia="zh-CN"/>
              </w:rPr>
              <w:t xml:space="preserve">合同签订之日起，120日历天内完成供货安装、调试并交付使用</w:t>
            </w:r>
            <w:r>
              <w:rPr>
                <w:rFonts w:hint="eastAsia" w:ascii="宋体" w:hAnsi="宋体" w:eastAsia="宋体" w:cs="宋体"/>
                <w:sz w:val="24"/>
                <w:szCs w:val="24"/>
                <w:highlight w:val="none"/>
              </w:rPr>
              <w:t xml:space="preserve">。</w:t>
            </w:r>
            <w:r/>
          </w:p>
        </w:tc>
      </w:tr>
      <w:tr>
        <w:trPr>
          <w:jc w:val="center"/>
          <w:trHeight w:val="863"/>
        </w:trPr>
        <w:tc>
          <w:tcPr>
            <w:tcW w:w="797" w:type="dxa"/>
            <w:vAlign w:val="center"/>
            <w:textDirection w:val="lrTb"/>
            <w:noWrap w:val="false"/>
          </w:tcPr>
          <w:p>
            <w:pPr>
              <w:ind w:right="-1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8142" w:type="dxa"/>
            <w:vAlign w:val="center"/>
            <w:textDirection w:val="lrTb"/>
            <w:noWrap w:val="false"/>
          </w:tcPr>
          <w:p>
            <w:pPr>
              <w:ind w:right="-11"/>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卖方应提供的服务：免费咨询、免费培训等卖方提供的所有服务已包括在投标报价中。</w:t>
            </w:r>
            <w:r/>
          </w:p>
        </w:tc>
      </w:tr>
      <w:tr>
        <w:trPr>
          <w:jc w:val="center"/>
          <w:trHeight w:val="521"/>
        </w:trPr>
        <w:tc>
          <w:tcPr>
            <w:tcW w:w="797" w:type="dxa"/>
            <w:vAlign w:val="center"/>
            <w:textDirection w:val="lrTb"/>
            <w:noWrap w:val="false"/>
          </w:tcPr>
          <w:p>
            <w:pPr>
              <w:ind w:right="-1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8142" w:type="dxa"/>
            <w:vAlign w:val="center"/>
            <w:textDirection w:val="lrTb"/>
            <w:noWrap w:val="false"/>
          </w:tcPr>
          <w:p>
            <w:pPr>
              <w:ind w:right="0"/>
              <w:jc w:val="both"/>
              <w:keepLines w:val="0"/>
              <w:keepNext w:val="0"/>
              <w:pageBreakBefore w:val="0"/>
              <w:spacing w:line="400" w:lineRule="exact"/>
              <w:widowControl w:val="off"/>
              <w:rPr>
                <w:rFonts w:hint="eastAsia" w:ascii="宋体" w:hAnsi="宋体" w:eastAsia="宋体" w:cs="宋体"/>
                <w:sz w:val="24"/>
                <w:szCs w:val="24"/>
                <w:highlight w:val="none"/>
              </w:rPr>
            </w:pPr>
            <w:r>
              <w:rPr>
                <w:rFonts w:hint="default" w:ascii="宋体" w:hAnsi="宋体" w:eastAsia="宋体" w:cs="宋体"/>
                <w:sz w:val="24"/>
                <w:szCs w:val="24"/>
                <w:highlight w:val="none"/>
              </w:rPr>
              <w:t xml:space="preserve">本合同价款是</w:t>
            </w:r>
            <w:r>
              <w:rPr>
                <w:rFonts w:hint="default" w:ascii="宋体" w:hAnsi="宋体" w:eastAsia="宋体" w:cs="宋体"/>
                <w:sz w:val="24"/>
                <w:szCs w:val="24"/>
                <w:highlight w:val="none"/>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相关劳务支出、项目验收等所</w:t>
            </w:r>
            <w:r>
              <w:rPr>
                <w:rFonts w:hint="eastAsia" w:ascii="宋体" w:hAnsi="宋体" w:eastAsia="宋体" w:cs="宋体"/>
                <w:sz w:val="24"/>
                <w:szCs w:val="24"/>
                <w:highlight w:val="none"/>
                <w:lang w:val="en-US" w:eastAsia="zh-CN"/>
              </w:rPr>
              <w:t xml:space="preserve">产</w:t>
            </w:r>
            <w:r>
              <w:rPr>
                <w:rFonts w:hint="default" w:ascii="宋体" w:hAnsi="宋体" w:eastAsia="宋体" w:cs="宋体"/>
                <w:sz w:val="24"/>
                <w:szCs w:val="24"/>
                <w:highlight w:val="none"/>
                <w:lang w:val="en-US" w:eastAsia="zh-CN"/>
              </w:rPr>
              <w:t xml:space="preserve">生的全部费用。</w:t>
            </w:r>
            <w:r/>
          </w:p>
        </w:tc>
      </w:tr>
      <w:tr>
        <w:trPr>
          <w:jc w:val="center"/>
          <w:trHeight w:val="504"/>
        </w:trPr>
        <w:tc>
          <w:tcPr>
            <w:tcW w:w="797" w:type="dxa"/>
            <w:vAlign w:val="center"/>
            <w:textDirection w:val="lrTb"/>
            <w:noWrap w:val="false"/>
          </w:tcPr>
          <w:p>
            <w:pPr>
              <w:ind w:right="-11"/>
              <w:jc w:val="center"/>
              <w:keepLines w:val="0"/>
              <w:keepNext w:val="0"/>
              <w:pageBreakBefore w:val="0"/>
              <w:spacing w:line="400" w:lineRule="exact"/>
              <w:widowControl w:val="off"/>
              <w:rPr>
                <w:rFonts w:hint="eastAsia" w:ascii="宋体" w:hAnsi="宋体" w:eastAsia="宋体" w:cs="宋体"/>
                <w:sz w:val="24"/>
                <w:szCs w:val="24"/>
                <w:highlight w:val="none"/>
              </w:rPr>
            </w:pPr>
            <w:r/>
            <w:bookmarkStart w:id="273" w:name="_Hlk513629757"/>
            <w:r>
              <w:rPr>
                <w:rFonts w:hint="eastAsia" w:ascii="宋体" w:hAnsi="宋体" w:eastAsia="宋体" w:cs="宋体"/>
                <w:sz w:val="24"/>
                <w:szCs w:val="24"/>
                <w:highlight w:val="none"/>
              </w:rPr>
              <w:t xml:space="preserve">6</w:t>
            </w:r>
            <w:r/>
          </w:p>
        </w:tc>
        <w:tc>
          <w:tcPr>
            <w:tcW w:w="8142"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质保期（自验收合格之日起开始计算）：</w:t>
            </w:r>
            <w:r>
              <w:rPr>
                <w:rFonts w:hint="eastAsia" w:ascii="宋体" w:hAnsi="宋体" w:eastAsia="宋体" w:cs="宋体"/>
                <w:color w:val="0000ff"/>
                <w:sz w:val="24"/>
                <w:szCs w:val="24"/>
                <w:highlight w:val="none"/>
              </w:rPr>
              <w:t xml:space="preserve">质保期</w:t>
            </w:r>
            <w:r>
              <w:rPr>
                <w:rFonts w:hint="eastAsia" w:ascii="宋体" w:hAnsi="宋体" w:cs="宋体"/>
                <w:color w:val="0000ff"/>
                <w:sz w:val="24"/>
                <w:szCs w:val="24"/>
                <w:highlight w:val="none"/>
                <w:lang w:val="en-US" w:eastAsia="zh-CN"/>
              </w:rPr>
              <w:t xml:space="preserve">三</w:t>
            </w:r>
            <w:r>
              <w:rPr>
                <w:rFonts w:hint="eastAsia" w:ascii="宋体" w:hAnsi="宋体" w:eastAsia="宋体" w:cs="宋体"/>
                <w:color w:val="0000ff"/>
                <w:sz w:val="24"/>
                <w:szCs w:val="24"/>
                <w:highlight w:val="none"/>
              </w:rPr>
              <w:t xml:space="preserve">年。</w:t>
            </w:r>
            <w:bookmarkEnd w:id="273"/>
            <w:r/>
            <w:r/>
          </w:p>
        </w:tc>
      </w:tr>
      <w:tr>
        <w:trPr>
          <w:jc w:val="center"/>
          <w:trHeight w:val="1290"/>
        </w:trPr>
        <w:tc>
          <w:tcPr>
            <w:tcW w:w="7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8142"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付款方式：</w:t>
            </w:r>
            <w:r>
              <w:rPr>
                <w:rFonts w:hint="eastAsia" w:ascii="宋体" w:hAnsi="宋体" w:cs="宋体"/>
                <w:sz w:val="24"/>
                <w:szCs w:val="24"/>
                <w:highlight w:val="none"/>
                <w:lang w:eastAsia="zh-CN"/>
              </w:rPr>
              <w:t xml:space="preserve">合同签订后，甲方支付合同总价款的30%作为预付款，设备进场且安装验收合格后付至合同总价款的80%，余款自验收合格之日起满三年后付清合同价的余款（所有款项均不计利息）</w:t>
            </w:r>
            <w:r>
              <w:rPr>
                <w:rFonts w:hint="default" w:ascii="宋体" w:hAnsi="宋体" w:eastAsia="宋体" w:cs="宋体"/>
                <w:sz w:val="24"/>
                <w:szCs w:val="24"/>
                <w:highlight w:val="none"/>
                <w:lang w:eastAsia="zh-CN"/>
              </w:rPr>
              <w:t xml:space="preserve">。</w:t>
            </w:r>
            <w:r/>
          </w:p>
        </w:tc>
      </w:tr>
      <w:tr>
        <w:trPr>
          <w:jc w:val="center"/>
          <w:trHeight w:val="462"/>
        </w:trPr>
        <w:tc>
          <w:tcPr>
            <w:tcW w:w="7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8142"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lang w:val="en-US" w:eastAsia="zh-CN"/>
              </w:rPr>
              <w:t xml:space="preserve">形式</w:t>
            </w:r>
            <w:r>
              <w:rPr>
                <w:rFonts w:hint="eastAsia" w:ascii="宋体" w:hAnsi="宋体" w:eastAsia="宋体" w:cs="宋体"/>
                <w:sz w:val="24"/>
                <w:szCs w:val="24"/>
                <w:highlight w:val="none"/>
              </w:rPr>
              <w:t xml:space="preserve">：固定</w:t>
            </w:r>
            <w:r>
              <w:rPr>
                <w:rFonts w:hint="eastAsia" w:ascii="宋体" w:hAnsi="宋体" w:eastAsia="宋体" w:cs="宋体"/>
                <w:sz w:val="24"/>
                <w:szCs w:val="24"/>
                <w:highlight w:val="none"/>
                <w:lang w:val="en-US" w:eastAsia="zh-CN"/>
              </w:rPr>
              <w:t xml:space="preserve">单价</w:t>
            </w:r>
            <w:r>
              <w:rPr>
                <w:rFonts w:hint="eastAsia" w:ascii="宋体" w:hAnsi="宋体" w:eastAsia="宋体" w:cs="宋体"/>
                <w:sz w:val="24"/>
                <w:szCs w:val="24"/>
                <w:highlight w:val="none"/>
              </w:rPr>
              <w:t xml:space="preserve">。</w:t>
            </w:r>
            <w:r/>
          </w:p>
        </w:tc>
      </w:tr>
      <w:tr>
        <w:trPr>
          <w:jc w:val="center"/>
          <w:trHeight w:val="863"/>
        </w:trPr>
        <w:tc>
          <w:tcPr>
            <w:tcW w:w="7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8142"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中标人不得私自将本项目转包给第三方，否则将作违约处理，招标人有权撤销合同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拒付货款，且中标人还要承担给招标人造成的损失。</w:t>
            </w:r>
            <w:r/>
          </w:p>
        </w:tc>
      </w:tr>
      <w:tr>
        <w:trPr>
          <w:jc w:val="center"/>
          <w:trHeight w:val="462"/>
        </w:trPr>
        <w:tc>
          <w:tcPr>
            <w:tcW w:w="7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8142"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仲裁所在地：</w:t>
            </w:r>
            <w:r>
              <w:rPr>
                <w:rFonts w:hint="eastAsia" w:ascii="宋体" w:hAnsi="宋体" w:eastAsia="宋体" w:cs="宋体"/>
                <w:sz w:val="24"/>
                <w:szCs w:val="24"/>
                <w:highlight w:val="none"/>
                <w:lang w:val="en-US" w:eastAsia="zh-CN"/>
              </w:rPr>
              <w:t xml:space="preserve">泰兴</w:t>
            </w:r>
            <w:r/>
          </w:p>
        </w:tc>
      </w:tr>
      <w:tr>
        <w:trPr>
          <w:jc w:val="center"/>
          <w:trHeight w:val="874"/>
        </w:trPr>
        <w:tc>
          <w:tcPr>
            <w:tcW w:w="79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W w:w="8142"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1.所投设备必须能够兼容并无缝接入现有</w:t>
            </w:r>
            <w:r>
              <w:rPr>
                <w:rFonts w:hint="eastAsia" w:ascii="宋体" w:hAnsi="宋体" w:cs="宋体"/>
                <w:sz w:val="24"/>
                <w:szCs w:val="24"/>
                <w:highlight w:val="none"/>
                <w:lang w:val="en-US" w:eastAsia="zh-CN"/>
              </w:rPr>
              <w:t xml:space="preserve">视频监控</w:t>
            </w:r>
            <w:r>
              <w:rPr>
                <w:rFonts w:hint="eastAsia" w:ascii="宋体" w:hAnsi="宋体" w:eastAsia="宋体" w:cs="宋体"/>
                <w:sz w:val="24"/>
                <w:szCs w:val="24"/>
                <w:highlight w:val="none"/>
              </w:rPr>
              <w:t xml:space="preserve">平台；</w:t>
            </w:r>
            <w:r/>
          </w:p>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2.技术接口标准：要求设备支持onvif协议或国标等标准协议；</w:t>
            </w:r>
            <w:r/>
          </w:p>
          <w:p>
            <w:pPr>
              <w:jc w:val="both"/>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3.因设备兼容问题产生的费用，由中标人自行承担。</w:t>
            </w:r>
            <w:r/>
          </w:p>
        </w:tc>
      </w:tr>
    </w:tbl>
    <w:p>
      <w:pPr>
        <w:pStyle w:val="1002"/>
        <w:jc w:val="center"/>
        <w:pageBreakBefore w:val="0"/>
        <w:spacing w:before="0" w:after="0" w:line="360" w:lineRule="auto"/>
        <w:tabs>
          <w:tab w:val="right" w:pos="9440" w:leader="dot"/>
        </w:tabs>
        <w:rPr>
          <w:rFonts w:hint="eastAsia" w:ascii="宋体" w:hAnsi="宋体" w:eastAsia="宋体" w:cs="宋体"/>
          <w:b w:val="0"/>
          <w:bCs/>
          <w:caps w:val="0"/>
          <w:sz w:val="24"/>
          <w:szCs w:val="24"/>
          <w:highlight w:val="none"/>
        </w:rPr>
      </w:pPr>
      <w:r>
        <w:rPr>
          <w:rFonts w:hint="eastAsia" w:ascii="宋体" w:hAnsi="宋体" w:eastAsia="宋体" w:cs="宋体"/>
          <w:b w:val="0"/>
          <w:bCs/>
          <w:caps w:val="0"/>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End w:id="263"/>
      <w:bookmarkEnd w:id="264"/>
      <w:bookmarkEnd w:id="265"/>
      <w:bookmarkEnd w:id="266"/>
      <w:r/>
    </w:p>
    <w:p>
      <w:pPr>
        <w:ind w:left="420" w:hanging="210"/>
        <w:jc w:val="center"/>
        <w:pageBreakBefore w:val="0"/>
        <w:spacing w:line="360" w:lineRule="auto"/>
        <w:widowControl/>
        <w:rPr>
          <w:rFonts w:hint="default" w:ascii="Times New Roman" w:hAnsi="Times New Roman" w:eastAsia="宋体" w:cs="Times New Roman"/>
          <w:b/>
          <w:bCs/>
          <w:color w:val="auto"/>
          <w:sz w:val="36"/>
          <w:szCs w:val="36"/>
          <w:highlight w:val="none"/>
          <w:lang w:val="en-US" w:eastAsia="zh-CN"/>
        </w:rPr>
      </w:pPr>
      <w:r/>
      <w:bookmarkStart w:id="274" w:name="_Toc12994"/>
      <w:r/>
      <w:bookmarkStart w:id="275" w:name="_Toc926"/>
      <w:r>
        <w:rPr>
          <w:rFonts w:hint="default" w:ascii="Times New Roman" w:hAnsi="Times New Roman" w:eastAsia="宋体" w:cs="Times New Roman"/>
          <w:b/>
          <w:bCs/>
          <w:color w:val="auto"/>
          <w:sz w:val="36"/>
          <w:szCs w:val="36"/>
          <w:highlight w:val="none"/>
          <w:lang w:val="en-US" w:eastAsia="zh-CN"/>
        </w:rPr>
        <w:t xml:space="preserve">区镇监测能力提升项目合同</w:t>
      </w:r>
      <w:r/>
    </w:p>
    <w:p>
      <w:pPr>
        <w:ind w:left="420" w:hanging="210"/>
        <w:jc w:val="left"/>
        <w:pageBreakBefore w:val="0"/>
        <w:spacing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r>
      <w:r/>
    </w:p>
    <w:p>
      <w:pPr>
        <w:ind w:left="420" w:hanging="210"/>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采购人：（以</w:t>
      </w:r>
      <w:r>
        <w:rPr>
          <w:rFonts w:hint="default" w:ascii="Times New Roman" w:hAnsi="Times New Roman" w:eastAsia="宋体" w:cs="Times New Roman"/>
          <w:color w:val="auto"/>
          <w:sz w:val="24"/>
          <w:szCs w:val="24"/>
          <w:highlight w:val="none"/>
          <w:lang w:eastAsia="zh-CN"/>
        </w:rPr>
        <w:t xml:space="preserve">下简</w:t>
      </w:r>
      <w:r>
        <w:rPr>
          <w:rFonts w:hint="default" w:ascii="Times New Roman" w:hAnsi="Times New Roman" w:eastAsia="宋体" w:cs="Times New Roman"/>
          <w:color w:val="auto"/>
          <w:sz w:val="24"/>
          <w:szCs w:val="24"/>
          <w:highlight w:val="none"/>
        </w:rPr>
        <w:t xml:space="preserve">称甲方）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供应商：</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（以</w:t>
      </w:r>
      <w:r>
        <w:rPr>
          <w:rFonts w:hint="default" w:ascii="Times New Roman" w:hAnsi="Times New Roman" w:eastAsia="宋体" w:cs="Times New Roman"/>
          <w:color w:val="auto"/>
          <w:sz w:val="24"/>
          <w:szCs w:val="24"/>
          <w:highlight w:val="none"/>
          <w:lang w:eastAsia="zh-CN"/>
        </w:rPr>
        <w:t xml:space="preserve">下简</w:t>
      </w:r>
      <w:r>
        <w:rPr>
          <w:rFonts w:hint="default" w:ascii="Times New Roman" w:hAnsi="Times New Roman" w:eastAsia="宋体" w:cs="Times New Roman"/>
          <w:color w:val="auto"/>
          <w:sz w:val="24"/>
          <w:szCs w:val="24"/>
          <w:highlight w:val="none"/>
        </w:rPr>
        <w:t xml:space="preserve">称乙方）</w:t>
      </w:r>
      <w:r>
        <w:rPr>
          <w:rFonts w:hint="default" w:ascii="Times New Roman" w:hAnsi="Times New Roman" w:eastAsia="宋体" w:cs="Times New Roman"/>
          <w:color w:val="auto"/>
          <w:sz w:val="24"/>
          <w:szCs w:val="24"/>
          <w:highlight w:val="none"/>
          <w:lang w:val="en-US" w:eastAsia="zh-CN"/>
        </w:rPr>
        <w:t xml:space="preserve"> </w:t>
      </w:r>
      <w:r/>
    </w:p>
    <w:p>
      <w:pPr>
        <w:ind w:left="420" w:hanging="21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江苏省泰兴经济开发区管理委员会</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lang w:val="en-US" w:eastAsia="zh-CN"/>
        </w:rPr>
        <w:t xml:space="preserve">         </w:t>
      </w:r>
      <w:r/>
    </w:p>
    <w:p>
      <w:pPr>
        <w:pStyle w:val="1038"/>
        <w:ind w:left="0" w:firstLine="480"/>
        <w:jc w:val="both"/>
        <w:pageBreakBefore w:val="0"/>
        <w:spacing w:before="0" w:after="0"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根据《中华人民共和国政府采购法</w:t>
      </w:r>
      <w:r>
        <w:rPr>
          <w:rFonts w:hint="default" w:ascii="Times New Roman" w:hAnsi="Times New Roman" w:eastAsia="宋体" w:cs="Times New Roman"/>
          <w:color w:val="auto"/>
          <w:sz w:val="24"/>
          <w:szCs w:val="24"/>
          <w:highlight w:val="none"/>
          <w:lang w:eastAsia="zh-CN"/>
        </w:rPr>
        <w:t xml:space="preserve">》和《</w:t>
      </w:r>
      <w:r>
        <w:rPr>
          <w:rFonts w:hint="default" w:ascii="Times New Roman" w:hAnsi="Times New Roman" w:eastAsia="宋体" w:cs="Times New Roman"/>
          <w:color w:val="auto"/>
          <w:sz w:val="24"/>
          <w:szCs w:val="24"/>
          <w:highlight w:val="none"/>
        </w:rPr>
        <w:t xml:space="preserve">中华人民共和国民法典》等法律法规的规定，甲乙</w:t>
      </w:r>
      <w:r>
        <w:rPr>
          <w:rFonts w:hint="default" w:ascii="Times New Roman" w:hAnsi="Times New Roman" w:eastAsia="宋体" w:cs="Times New Roman"/>
          <w:color w:val="auto"/>
          <w:sz w:val="24"/>
          <w:szCs w:val="24"/>
          <w:highlight w:val="none"/>
          <w:lang w:val="en-US" w:eastAsia="zh-CN"/>
        </w:rPr>
        <w:t xml:space="preserve">双方</w:t>
      </w:r>
      <w:r>
        <w:rPr>
          <w:rFonts w:hint="default" w:ascii="Times New Roman" w:hAnsi="Times New Roman" w:eastAsia="宋体" w:cs="Times New Roman"/>
          <w:color w:val="auto"/>
          <w:sz w:val="24"/>
          <w:szCs w:val="24"/>
          <w:highlight w:val="none"/>
        </w:rPr>
        <w:t xml:space="preserve">按照项目的招标结果签订本合同。</w:t>
      </w:r>
      <w:r/>
    </w:p>
    <w:p>
      <w:pPr>
        <w:ind w:left="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第一条：合同标的</w:t>
      </w:r>
      <w:r/>
    </w:p>
    <w:p>
      <w:pPr>
        <w:pStyle w:val="1038"/>
        <w:ind w:left="0" w:firstLine="480"/>
        <w:jc w:val="both"/>
        <w:pageBreakBefore w:val="0"/>
        <w:spacing w:before="0" w:after="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采购需求：</w:t>
      </w:r>
      <w:r/>
    </w:p>
    <w:p>
      <w:pPr>
        <w:pStyle w:val="1038"/>
        <w:ind w:left="0" w:firstLine="480"/>
        <w:jc w:val="both"/>
        <w:pageBreakBefore w:val="0"/>
        <w:spacing w:before="0" w:after="0"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汇聚区内10家企业内部监控类设备，在企业前端部署轻量化传输平台，将企业前端视频点位虚拟成标准点位通过数据专线（100M数据专线，三年期限运营维护）汇聚至园区平台统一管理，企业前端点位发生增减变化时，能通过平台一键配置实现，具备所有企业视频点位同时24小时实时传输、离线检测能力，实现所有企业视频画面实时传输至园区平台实时分析；如企业涉及前端汇聚改造由投标人自行承担，在运维期内如企业视频发生变化，中标人须无条件调整，投标人须保证数据与园区平台无缝对接。</w:t>
      </w:r>
      <w:r/>
    </w:p>
    <w:p>
      <w:pPr>
        <w:pStyle w:val="1038"/>
        <w:ind w:left="0" w:firstLine="480"/>
        <w:jc w:val="both"/>
        <w:pageBreakBefore w:val="0"/>
        <w:spacing w:before="0" w:after="0"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在园区内选择3处高空铁塔，2处企业办公楼顶，安装5台高空热成像火点检测仪，实现前端设备对烟火的实时动态检测。在长江生态走廊安装4台监控，实现前端设备的实时动态检测，另采购10台作为监控补盲，投标人须保证数据与园区平台无缝对接。</w:t>
      </w:r>
      <w:r/>
    </w:p>
    <w:p>
      <w:pPr>
        <w:pStyle w:val="1038"/>
        <w:ind w:left="0" w:firstLine="480"/>
        <w:jc w:val="both"/>
        <w:pageBreakBefore w:val="0"/>
        <w:spacing w:before="0" w:after="0"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整体项目包含所需的铁塔租赁、设备采购、施工、安装、调试、视频回传线路及监控运维服务等。</w:t>
      </w:r>
      <w:r>
        <w:rPr>
          <w:rFonts w:hint="default" w:ascii="Times New Roman" w:hAnsi="Times New Roman" w:eastAsia="宋体" w:cs="Times New Roman"/>
          <w:color w:val="auto"/>
          <w:sz w:val="24"/>
          <w:szCs w:val="24"/>
          <w:highlight w:val="none"/>
          <w:lang w:val="en-US" w:eastAsia="zh-CN"/>
        </w:rPr>
        <w:t xml:space="preserve">所有设备与施工须符合GB/T28181、GB50348等国家及行业标准，核心产品单路通用服务器需满足指定技术参数、防护等级与检测报告要求，按清单数量在合同签订后</w:t>
      </w:r>
      <w:r>
        <w:rPr>
          <w:rFonts w:hint="eastAsia" w:ascii="Times New Roman" w:hAnsi="Times New Roman" w:eastAsia="宋体" w:cs="Times New Roman"/>
          <w:color w:val="auto"/>
          <w:sz w:val="24"/>
          <w:szCs w:val="24"/>
          <w:highlight w:val="none"/>
          <w:lang w:val="en-US" w:eastAsia="zh-CN"/>
        </w:rPr>
        <w:t xml:space="preserve">120</w:t>
      </w:r>
      <w:r>
        <w:rPr>
          <w:rFonts w:hint="default" w:ascii="Times New Roman" w:hAnsi="Times New Roman" w:eastAsia="宋体" w:cs="Times New Roman"/>
          <w:color w:val="auto"/>
          <w:sz w:val="24"/>
          <w:szCs w:val="24"/>
          <w:highlight w:val="none"/>
          <w:lang w:val="en-US" w:eastAsia="zh-CN"/>
        </w:rPr>
        <w:t xml:space="preserve">日历天内完成供货、安装与调试，实施地点涵盖泰兴区（镇）指定点位及园区机房；服务期3年</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提供7×24小时、4小时到场的运维响应及免费培训，验收需设备齐全、安装规范、功能达标且连续试运行7天无故障，同时须兼容现有平台、提供全费用报价，并承担点位协调、系统升级、售后保障等全部工作。</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供货一览表：</w:t>
      </w:r>
      <w:r/>
    </w:p>
    <w:tbl>
      <w:tblPr>
        <w:tblStyle w:val="779"/>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818"/>
        <w:gridCol w:w="2147"/>
        <w:gridCol w:w="1569"/>
        <w:gridCol w:w="1686"/>
      </w:tblGrid>
      <w:tr>
        <w:trPr>
          <w:jc w:val="center"/>
          <w:trHeight w:val="872" w:hRule="exact"/>
        </w:trPr>
        <w:tc>
          <w:tcPr>
            <w:tcW w:w="844" w:type="dxa"/>
            <w:vAlign w:val="center"/>
            <w:textDirection w:val="lrTb"/>
            <w:noWrap w:val="false"/>
          </w:tcPr>
          <w:p>
            <w:pPr>
              <w:jc w:val="center"/>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序号</w:t>
            </w:r>
            <w:r/>
          </w:p>
        </w:tc>
        <w:tc>
          <w:tcPr>
            <w:tcW w:w="1818" w:type="dxa"/>
            <w:vAlign w:val="center"/>
            <w:textDirection w:val="lrTb"/>
            <w:noWrap w:val="false"/>
          </w:tcPr>
          <w:p>
            <w:pPr>
              <w:jc w:val="center"/>
              <w:pageBreakBefore w:val="0"/>
              <w:spacing w:line="360" w:lineRule="auto"/>
              <w:widowControl/>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货物名称</w:t>
            </w:r>
            <w:r/>
          </w:p>
        </w:tc>
        <w:tc>
          <w:tcPr>
            <w:tcW w:w="2147" w:type="dxa"/>
            <w:vAlign w:val="center"/>
            <w:textDirection w:val="lrTb"/>
            <w:noWrap w:val="false"/>
          </w:tcPr>
          <w:p>
            <w:pPr>
              <w:jc w:val="center"/>
              <w:pageBreakBefore w:val="0"/>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规格型号</w:t>
            </w:r>
            <w:r/>
          </w:p>
        </w:tc>
        <w:tc>
          <w:tcPr>
            <w:tcW w:w="1569" w:type="dxa"/>
            <w:vAlign w:val="center"/>
            <w:textDirection w:val="lrTb"/>
            <w:noWrap w:val="false"/>
          </w:tcPr>
          <w:p>
            <w:pPr>
              <w:jc w:val="center"/>
              <w:pageBreakBefore w:val="0"/>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单位</w:t>
            </w:r>
            <w:r/>
          </w:p>
        </w:tc>
        <w:tc>
          <w:tcPr>
            <w:tcW w:w="1686" w:type="dxa"/>
            <w:vAlign w:val="center"/>
            <w:textDirection w:val="lrTb"/>
            <w:noWrap w:val="false"/>
          </w:tcPr>
          <w:p>
            <w:pPr>
              <w:jc w:val="center"/>
              <w:pageBreakBefore w:val="0"/>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数量</w:t>
            </w:r>
            <w:r/>
          </w:p>
        </w:tc>
      </w:tr>
      <w:tr>
        <w:trPr>
          <w:jc w:val="center"/>
          <w:trHeight w:val="567" w:hRule="exact"/>
        </w:trPr>
        <w:tc>
          <w:tcPr>
            <w:tcW w:w="844" w:type="dxa"/>
            <w:vAlign w:val="center"/>
            <w:textDirection w:val="lrTb"/>
            <w:noWrap w:val="false"/>
          </w:tcPr>
          <w:p>
            <w:pPr>
              <w:ind w:firstLine="21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1818"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147"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9" w:type="dxa"/>
            <w:vAlign w:val="center"/>
            <w:textDirection w:val="lrTb"/>
            <w:noWrap w:val="false"/>
          </w:tcPr>
          <w:p>
            <w:pPr>
              <w:jc w:val="center"/>
              <w:pageBreakBefore w:val="0"/>
              <w:spacing w:line="36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tc>
        <w:tc>
          <w:tcPr>
            <w:tcW w:w="1686" w:type="dxa"/>
            <w:vAlign w:val="top"/>
            <w:textDirection w:val="lrTb"/>
            <w:noWrap w:val="false"/>
          </w:tcPr>
          <w:p>
            <w:pPr>
              <w:ind w:firstLine="8"/>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567" w:hRule="exact"/>
        </w:trPr>
        <w:tc>
          <w:tcPr>
            <w:tcW w:w="844" w:type="dxa"/>
            <w:vAlign w:val="center"/>
            <w:textDirection w:val="lrTb"/>
            <w:noWrap w:val="false"/>
          </w:tcPr>
          <w:p>
            <w:pPr>
              <w:ind w:firstLine="21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1818"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147"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9" w:type="dxa"/>
            <w:vAlign w:val="center"/>
            <w:textDirection w:val="lrTb"/>
            <w:noWrap w:val="false"/>
          </w:tcPr>
          <w:p>
            <w:pPr>
              <w:jc w:val="center"/>
              <w:pageBreakBefore w:val="0"/>
              <w:spacing w:line="36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tc>
        <w:tc>
          <w:tcPr>
            <w:tcW w:w="1686" w:type="dxa"/>
            <w:vAlign w:val="top"/>
            <w:textDirection w:val="lrTb"/>
            <w:noWrap w:val="false"/>
          </w:tcPr>
          <w:p>
            <w:pPr>
              <w:ind w:firstLine="8"/>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567" w:hRule="exact"/>
        </w:trPr>
        <w:tc>
          <w:tcPr>
            <w:tcW w:w="844" w:type="dxa"/>
            <w:vAlign w:val="center"/>
            <w:textDirection w:val="lrTb"/>
            <w:noWrap w:val="false"/>
          </w:tcPr>
          <w:p>
            <w:pPr>
              <w:ind w:firstLine="21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1818"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147"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9" w:type="dxa"/>
            <w:vAlign w:val="center"/>
            <w:textDirection w:val="lrTb"/>
            <w:noWrap w:val="false"/>
          </w:tcPr>
          <w:p>
            <w:pPr>
              <w:jc w:val="center"/>
              <w:pageBreakBefore w:val="0"/>
              <w:spacing w:line="36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tc>
        <w:tc>
          <w:tcPr>
            <w:tcW w:w="1686" w:type="dxa"/>
            <w:vAlign w:val="top"/>
            <w:textDirection w:val="lrTb"/>
            <w:noWrap w:val="false"/>
          </w:tcPr>
          <w:p>
            <w:pPr>
              <w:ind w:firstLine="8"/>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567" w:hRule="exact"/>
        </w:trPr>
        <w:tc>
          <w:tcPr>
            <w:tcW w:w="844" w:type="dxa"/>
            <w:vAlign w:val="center"/>
            <w:textDirection w:val="lrTb"/>
            <w:noWrap w:val="false"/>
          </w:tcPr>
          <w:p>
            <w:pPr>
              <w:ind w:firstLine="21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W w:w="1818"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147" w:type="dxa"/>
            <w:vAlign w:val="center"/>
            <w:textDirection w:val="lrTb"/>
            <w:noWrap w:val="false"/>
          </w:tcPr>
          <w:p>
            <w:pPr>
              <w:jc w:val="center"/>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569" w:type="dxa"/>
            <w:vAlign w:val="center"/>
            <w:textDirection w:val="lrTb"/>
            <w:noWrap w:val="false"/>
          </w:tcPr>
          <w:p>
            <w:pPr>
              <w:jc w:val="center"/>
              <w:pageBreakBefore w:val="0"/>
              <w:spacing w:line="36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r>
            <w:r/>
          </w:p>
        </w:tc>
        <w:tc>
          <w:tcPr>
            <w:tcW w:w="1686" w:type="dxa"/>
            <w:vAlign w:val="top"/>
            <w:textDirection w:val="lrTb"/>
            <w:noWrap w:val="false"/>
          </w:tcPr>
          <w:p>
            <w:pPr>
              <w:ind w:firstLine="8"/>
              <w:jc w:val="center"/>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420"/>
        <w:jc w:val="left"/>
        <w:pageBreakBefore w:val="0"/>
        <w:spacing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 xml:space="preserve">第二条：合同价款</w:t>
      </w:r>
      <w:r>
        <w:rPr>
          <w:rFonts w:hint="default" w:ascii="Times New Roman" w:hAnsi="Times New Roman" w:eastAsia="宋体" w:cs="Times New Roman"/>
          <w:b/>
          <w:bCs/>
          <w:color w:val="auto"/>
          <w:sz w:val="24"/>
          <w:szCs w:val="24"/>
          <w:highlight w:val="none"/>
          <w:lang w:val="en-US" w:eastAsia="zh-CN"/>
        </w:rPr>
        <w:t xml:space="preserve">及合同形式</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本合同项下货物价款为人民币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大写）。</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本合同价款是</w:t>
      </w:r>
      <w:r>
        <w:rPr>
          <w:rFonts w:hint="default" w:ascii="Times New Roman" w:hAnsi="Times New Roman" w:eastAsia="宋体" w:cs="Times New Roman"/>
          <w:color w:val="auto"/>
          <w:sz w:val="24"/>
          <w:szCs w:val="24"/>
          <w:highlight w:val="none"/>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相关劳务支出、项目验收等所产生的全部费用。</w:t>
      </w:r>
      <w:r>
        <w:rPr>
          <w:rFonts w:hint="eastAsia" w:cs="Times New Roman"/>
          <w:color w:val="auto"/>
          <w:sz w:val="24"/>
          <w:szCs w:val="24"/>
          <w:highlight w:val="none"/>
          <w:lang w:val="en-US" w:eastAsia="zh-CN"/>
        </w:rPr>
        <w:t xml:space="preserve"> </w:t>
      </w:r>
      <w:r/>
    </w:p>
    <w:p>
      <w:pPr>
        <w:ind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本合同价款还包含乙方应当提供的售后服务费用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新增视频</w:t>
      </w:r>
      <w:r>
        <w:rPr>
          <w:rFonts w:hint="default" w:ascii="Times New Roman" w:hAnsi="Times New Roman" w:eastAsia="宋体" w:cs="Times New Roman"/>
          <w:color w:val="auto"/>
          <w:sz w:val="24"/>
          <w:szCs w:val="24"/>
          <w:highlight w:val="none"/>
        </w:rPr>
        <w:t xml:space="preserve">数据</w:t>
      </w:r>
      <w:r>
        <w:rPr>
          <w:rFonts w:hint="default" w:ascii="Times New Roman" w:hAnsi="Times New Roman" w:eastAsia="宋体" w:cs="Times New Roman"/>
          <w:color w:val="auto"/>
          <w:sz w:val="24"/>
          <w:szCs w:val="24"/>
          <w:highlight w:val="none"/>
          <w:lang w:val="en-US" w:eastAsia="zh-CN"/>
        </w:rPr>
        <w:t xml:space="preserve">需</w:t>
      </w:r>
      <w:r>
        <w:rPr>
          <w:rFonts w:hint="default" w:ascii="Times New Roman" w:hAnsi="Times New Roman" w:eastAsia="宋体" w:cs="Times New Roman"/>
          <w:color w:val="auto"/>
          <w:sz w:val="24"/>
          <w:szCs w:val="24"/>
          <w:highlight w:val="none"/>
        </w:rPr>
        <w:t xml:space="preserve">与园区</w:t>
      </w:r>
      <w:r>
        <w:rPr>
          <w:rFonts w:hint="default" w:ascii="Times New Roman" w:hAnsi="Times New Roman" w:eastAsia="宋体" w:cs="Times New Roman"/>
          <w:color w:val="auto"/>
          <w:sz w:val="24"/>
          <w:szCs w:val="24"/>
          <w:highlight w:val="none"/>
          <w:lang w:val="en-US" w:eastAsia="zh-CN"/>
        </w:rPr>
        <w:t xml:space="preserve">现有</w:t>
      </w:r>
      <w:r>
        <w:rPr>
          <w:rFonts w:hint="default" w:ascii="Times New Roman" w:hAnsi="Times New Roman" w:eastAsia="宋体" w:cs="Times New Roman"/>
          <w:color w:val="auto"/>
          <w:sz w:val="24"/>
          <w:szCs w:val="24"/>
          <w:highlight w:val="none"/>
        </w:rPr>
        <w:t xml:space="preserve">平台无缝对接、如因设备兼容性问题产生的对接费用由</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自行承担。</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本合同执行期间合同</w:t>
      </w:r>
      <w:r>
        <w:rPr>
          <w:rFonts w:hint="default" w:ascii="Times New Roman" w:hAnsi="Times New Roman" w:eastAsia="宋体" w:cs="Times New Roman"/>
          <w:color w:val="auto"/>
          <w:sz w:val="24"/>
          <w:szCs w:val="24"/>
          <w:highlight w:val="none"/>
          <w:lang w:val="en-US" w:eastAsia="zh-CN"/>
        </w:rPr>
        <w:t xml:space="preserve">单价</w:t>
      </w:r>
      <w:r>
        <w:rPr>
          <w:rFonts w:hint="default" w:ascii="Times New Roman" w:hAnsi="Times New Roman" w:eastAsia="宋体" w:cs="Times New Roman"/>
          <w:color w:val="auto"/>
          <w:sz w:val="24"/>
          <w:szCs w:val="24"/>
          <w:highlight w:val="none"/>
        </w:rPr>
        <w:t xml:space="preserve">不变。</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合同形式：固定单价。</w:t>
      </w:r>
      <w:r/>
    </w:p>
    <w:p>
      <w:pPr>
        <w:ind w:firstLine="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第三条：组成本合同的有关文件</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下列关于</w:t>
      </w:r>
      <w:r>
        <w:rPr>
          <w:rFonts w:hint="default" w:ascii="Times New Roman" w:hAnsi="Times New Roman" w:eastAsia="宋体" w:cs="Times New Roman"/>
          <w:color w:val="auto"/>
          <w:sz w:val="24"/>
          <w:szCs w:val="24"/>
          <w:highlight w:val="none"/>
          <w:lang w:val="en-US" w:eastAsia="zh-CN"/>
        </w:rPr>
        <w:t xml:space="preserve">泰兴经济开发区管理委员会</w:t>
      </w:r>
      <w:r>
        <w:rPr>
          <w:rFonts w:hint="default" w:ascii="Times New Roman" w:hAnsi="Times New Roman" w:eastAsia="宋体" w:cs="Times New Roman"/>
          <w:color w:val="auto"/>
          <w:sz w:val="24"/>
          <w:szCs w:val="24"/>
          <w:highlight w:val="none"/>
        </w:rPr>
        <w:t xml:space="preserve">采购的</w:t>
      </w:r>
      <w:r>
        <w:rPr>
          <w:rFonts w:hint="default" w:ascii="Times New Roman" w:hAnsi="Times New Roman" w:eastAsia="宋体" w:cs="Times New Roman"/>
          <w:color w:val="auto"/>
          <w:sz w:val="24"/>
          <w:szCs w:val="24"/>
          <w:highlight w:val="none"/>
          <w:u w:val="single"/>
          <w:lang w:val="en-US" w:eastAsia="zh-CN"/>
        </w:rPr>
        <w:t xml:space="preserve">区镇监测能力提升项目</w:t>
      </w:r>
      <w:r>
        <w:rPr>
          <w:rFonts w:hint="default" w:ascii="Times New Roman" w:hAnsi="Times New Roman" w:eastAsia="宋体" w:cs="Times New Roman"/>
          <w:color w:val="auto"/>
          <w:sz w:val="24"/>
          <w:szCs w:val="24"/>
          <w:highlight w:val="none"/>
          <w:u w:val="none"/>
          <w:lang w:val="en-US" w:eastAsia="zh-CN"/>
        </w:rPr>
        <w:t xml:space="preserve">，</w:t>
      </w:r>
      <w:r>
        <w:rPr>
          <w:rFonts w:hint="default" w:ascii="Times New Roman" w:hAnsi="Times New Roman" w:eastAsia="宋体" w:cs="Times New Roman"/>
          <w:color w:val="auto"/>
          <w:sz w:val="24"/>
          <w:szCs w:val="24"/>
          <w:highlight w:val="none"/>
          <w:lang w:eastAsia="zh-CN"/>
        </w:rPr>
        <w:t xml:space="preserve">采购文件</w:t>
      </w:r>
      <w:r>
        <w:rPr>
          <w:rFonts w:hint="default" w:ascii="Times New Roman" w:hAnsi="Times New Roman" w:eastAsia="宋体" w:cs="Times New Roman"/>
          <w:color w:val="auto"/>
          <w:sz w:val="24"/>
          <w:szCs w:val="24"/>
          <w:highlight w:val="none"/>
        </w:rPr>
        <w:t xml:space="preserve">或与本次采购活动方式相适应的文件及有关附件是本合同不可分割的组成部分，与本合同具有同等法律效力，这些文件包括但不限于： </w:t>
      </w:r>
      <w:r/>
    </w:p>
    <w:p>
      <w:pPr>
        <w:numPr>
          <w:ilvl w:val="0"/>
          <w:numId w:val="5"/>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乙方提供的投标文件和投标报价表； </w:t>
      </w:r>
      <w:r/>
    </w:p>
    <w:p>
      <w:pPr>
        <w:numPr>
          <w:ilvl w:val="0"/>
          <w:numId w:val="5"/>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供货</w:t>
      </w:r>
      <w:r>
        <w:rPr>
          <w:rFonts w:hint="default" w:ascii="Times New Roman" w:hAnsi="Times New Roman" w:eastAsia="宋体" w:cs="Times New Roman"/>
          <w:color w:val="auto"/>
          <w:sz w:val="24"/>
          <w:szCs w:val="24"/>
          <w:highlight w:val="none"/>
          <w:lang w:val="en-US" w:eastAsia="zh-CN"/>
        </w:rPr>
        <w:t xml:space="preserve">及交货</w:t>
      </w:r>
      <w:r>
        <w:rPr>
          <w:rFonts w:hint="default" w:ascii="Times New Roman" w:hAnsi="Times New Roman" w:eastAsia="宋体" w:cs="Times New Roman"/>
          <w:color w:val="auto"/>
          <w:sz w:val="24"/>
          <w:szCs w:val="24"/>
          <w:highlight w:val="none"/>
        </w:rPr>
        <w:t xml:space="preserve">一览表；</w:t>
      </w:r>
      <w:r/>
    </w:p>
    <w:p>
      <w:pPr>
        <w:numPr>
          <w:ilvl w:val="0"/>
          <w:numId w:val="5"/>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技术规格响应表；</w:t>
      </w:r>
      <w:r/>
    </w:p>
    <w:p>
      <w:pPr>
        <w:numPr>
          <w:ilvl w:val="0"/>
          <w:numId w:val="5"/>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有关投标承诺、服务承诺；</w:t>
      </w:r>
      <w:r/>
    </w:p>
    <w:p>
      <w:pPr>
        <w:numPr>
          <w:ilvl w:val="0"/>
          <w:numId w:val="5"/>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中标或成交通知书；</w:t>
      </w:r>
      <w:r/>
    </w:p>
    <w:p>
      <w:pPr>
        <w:numPr>
          <w:ilvl w:val="0"/>
          <w:numId w:val="5"/>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rPr>
        <w:t xml:space="preserve">文件；</w:t>
      </w:r>
      <w:r/>
    </w:p>
    <w:p>
      <w:pPr>
        <w:numPr>
          <w:ilvl w:val="0"/>
          <w:numId w:val="5"/>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甲乙双方商定的其他文件。</w:t>
      </w:r>
      <w:r/>
    </w:p>
    <w:p>
      <w:pPr>
        <w:ind w:left="420" w:hanging="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 xml:space="preserve">第四条：权利保证</w:t>
      </w:r>
      <w:r/>
    </w:p>
    <w:p>
      <w:pPr>
        <w:ind w:firstLine="480"/>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乙方应</w:t>
      </w:r>
      <w:r>
        <w:rPr>
          <w:rFonts w:hint="default" w:ascii="Times New Roman" w:hAnsi="Times New Roman" w:eastAsia="宋体" w:cs="Times New Roman"/>
          <w:color w:val="auto"/>
          <w:sz w:val="24"/>
          <w:szCs w:val="24"/>
          <w:highlight w:val="none"/>
          <w:lang w:eastAsia="zh-CN"/>
        </w:rPr>
        <w:t xml:space="preserve">保证</w:t>
      </w:r>
      <w:r>
        <w:rPr>
          <w:rFonts w:hint="default" w:ascii="Times New Roman" w:hAnsi="Times New Roman" w:eastAsia="宋体" w:cs="Times New Roman"/>
          <w:color w:val="auto"/>
          <w:sz w:val="24"/>
          <w:szCs w:val="24"/>
          <w:highlight w:val="none"/>
        </w:rPr>
        <w:t xml:space="preserve">甲方在使用该货物或其任何一部分时不受第三方提出侵犯其专利权、版权、商标权或其他权利的起诉。一旦出现侵权，乙方应承担全部责任。 </w:t>
      </w:r>
      <w:r/>
    </w:p>
    <w:p>
      <w:pPr>
        <w:ind w:left="420" w:hanging="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rPr>
        <w:t xml:space="preserve"> 第五条：质量保证</w:t>
      </w:r>
      <w:r/>
    </w:p>
    <w:p>
      <w:pPr>
        <w:ind w:firstLine="420"/>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1.乙方所提供的货物的技术规格应与</w:t>
      </w:r>
      <w:r>
        <w:rPr>
          <w:rFonts w:hint="default" w:ascii="Times New Roman" w:hAnsi="Times New Roman" w:eastAsia="宋体" w:cs="Times New Roman"/>
          <w:color w:val="auto"/>
          <w:sz w:val="24"/>
          <w:szCs w:val="24"/>
          <w:highlight w:val="none"/>
          <w:lang w:eastAsia="zh-CN"/>
        </w:rPr>
        <w:t xml:space="preserve">采购文件</w:t>
      </w:r>
      <w:r>
        <w:rPr>
          <w:rFonts w:hint="default" w:ascii="Times New Roman" w:hAnsi="Times New Roman" w:eastAsia="宋体" w:cs="Times New Roman"/>
          <w:color w:val="auto"/>
          <w:sz w:val="24"/>
          <w:szCs w:val="24"/>
          <w:highlight w:val="none"/>
        </w:rPr>
        <w:t xml:space="preserve">规定的技术规格及所附的“技术规格响应表”相一致；若技术性能无特殊说明，则按国家有关部门最新颁布的标准及规范为准。</w:t>
      </w:r>
      <w:r/>
    </w:p>
    <w:p>
      <w:pPr>
        <w:ind w:firstLine="420"/>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车辆验收后，在质量保证期内，乙方应对由于设计、工艺或材料的缺陷所发生的任何不足或故障负责，所需费用由乙方承担。 </w:t>
      </w:r>
      <w:r/>
    </w:p>
    <w:p>
      <w:pPr>
        <w:ind w:firstLine="420"/>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第六条：交货和验收</w:t>
      </w:r>
      <w:r/>
    </w:p>
    <w:p>
      <w:pPr>
        <w:ind w:firstLine="420"/>
        <w:jc w:val="both"/>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乙方应按照本合同或</w:t>
      </w:r>
      <w:r>
        <w:rPr>
          <w:rFonts w:hint="default" w:ascii="Times New Roman" w:hAnsi="Times New Roman" w:eastAsia="宋体" w:cs="Times New Roman"/>
          <w:color w:val="auto"/>
          <w:sz w:val="24"/>
          <w:szCs w:val="24"/>
          <w:highlight w:val="none"/>
          <w:lang w:eastAsia="zh-CN"/>
        </w:rPr>
        <w:t xml:space="preserve">采购文件</w:t>
      </w:r>
      <w:r>
        <w:rPr>
          <w:rFonts w:hint="default" w:ascii="Times New Roman" w:hAnsi="Times New Roman" w:eastAsia="宋体" w:cs="Times New Roman"/>
          <w:color w:val="auto"/>
          <w:sz w:val="24"/>
          <w:szCs w:val="24"/>
          <w:highlight w:val="none"/>
        </w:rPr>
        <w:t xml:space="preserve">规定的时间和方式向甲方交付货物。交货地点由甲方指定，乙方应当在</w:t>
      </w:r>
      <w:r>
        <w:rPr>
          <w:rFonts w:hint="default" w:ascii="Times New Roman" w:hAnsi="Times New Roman" w:eastAsia="宋体" w:cs="Times New Roman"/>
          <w:color w:val="auto"/>
          <w:sz w:val="24"/>
          <w:szCs w:val="24"/>
          <w:highlight w:val="none"/>
          <w:lang w:val="en-US" w:eastAsia="zh-CN"/>
        </w:rPr>
        <w:t xml:space="preserve">合同签订后120天内</w:t>
      </w:r>
      <w:r>
        <w:rPr>
          <w:rFonts w:hint="default" w:ascii="Times New Roman" w:hAnsi="Times New Roman" w:eastAsia="宋体" w:cs="Times New Roman"/>
          <w:color w:val="auto"/>
          <w:sz w:val="24"/>
          <w:szCs w:val="24"/>
          <w:highlight w:val="none"/>
        </w:rPr>
        <w:t xml:space="preserve">将货物交付甲方</w:t>
      </w:r>
      <w:r>
        <w:rPr>
          <w:rFonts w:hint="default" w:ascii="Times New Roman" w:hAnsi="Times New Roman" w:eastAsia="宋体" w:cs="Times New Roman"/>
          <w:color w:val="auto"/>
          <w:sz w:val="24"/>
          <w:szCs w:val="24"/>
          <w:highlight w:val="none"/>
          <w:lang w:val="en-US" w:eastAsia="zh-CN"/>
        </w:rPr>
        <w:t xml:space="preserve">并完成设备安装及平台对接</w:t>
      </w:r>
      <w:r>
        <w:rPr>
          <w:rFonts w:hint="default" w:ascii="Times New Roman" w:hAnsi="Times New Roman" w:eastAsia="宋体" w:cs="Times New Roman"/>
          <w:color w:val="auto"/>
          <w:sz w:val="24"/>
          <w:szCs w:val="24"/>
          <w:highlight w:val="none"/>
        </w:rPr>
        <w:t xml:space="preserve">。 </w:t>
      </w:r>
      <w:r/>
    </w:p>
    <w:p>
      <w:pPr>
        <w:ind w:firstLine="420"/>
        <w:jc w:val="both"/>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乙方交付的货物应当完全符合本合同或者</w:t>
      </w:r>
      <w:r>
        <w:rPr>
          <w:rFonts w:hint="default" w:ascii="Times New Roman" w:hAnsi="Times New Roman" w:eastAsia="宋体" w:cs="Times New Roman"/>
          <w:color w:val="auto"/>
          <w:sz w:val="24"/>
          <w:szCs w:val="24"/>
          <w:highlight w:val="none"/>
          <w:lang w:eastAsia="zh-CN"/>
        </w:rPr>
        <w:t xml:space="preserve">采购文件</w:t>
      </w:r>
      <w:r>
        <w:rPr>
          <w:rFonts w:hint="default" w:ascii="Times New Roman" w:hAnsi="Times New Roman" w:eastAsia="宋体" w:cs="Times New Roman"/>
          <w:color w:val="auto"/>
          <w:sz w:val="24"/>
          <w:szCs w:val="24"/>
          <w:highlight w:val="none"/>
        </w:rPr>
        <w:t xml:space="preserve">所规定的货物、数量和规格要求。乙方不得少交货物。乙方提供的货物不符合</w:t>
      </w:r>
      <w:r>
        <w:rPr>
          <w:rFonts w:hint="default" w:ascii="Times New Roman" w:hAnsi="Times New Roman" w:eastAsia="宋体" w:cs="Times New Roman"/>
          <w:color w:val="auto"/>
          <w:sz w:val="24"/>
          <w:szCs w:val="24"/>
          <w:highlight w:val="none"/>
          <w:lang w:eastAsia="zh-CN"/>
        </w:rPr>
        <w:t xml:space="preserve">采购文件</w:t>
      </w:r>
      <w:r>
        <w:rPr>
          <w:rFonts w:hint="default" w:ascii="Times New Roman" w:hAnsi="Times New Roman" w:eastAsia="宋体" w:cs="Times New Roman"/>
          <w:color w:val="auto"/>
          <w:sz w:val="24"/>
          <w:szCs w:val="24"/>
          <w:highlight w:val="none"/>
        </w:rPr>
        <w:t xml:space="preserve">和合同规定的，甲方有权拒收货物，由此引起的风险，由乙方承担。</w:t>
      </w:r>
      <w:r/>
    </w:p>
    <w:p>
      <w:pPr>
        <w:ind w:firstLine="420"/>
        <w:jc w:val="both"/>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货物的到货验收包括：型号、规格、数量、外观质量</w:t>
      </w:r>
      <w:r>
        <w:rPr>
          <w:rFonts w:hint="default" w:ascii="Times New Roman" w:hAnsi="Times New Roman" w:eastAsia="宋体" w:cs="Times New Roman"/>
          <w:color w:val="auto"/>
          <w:sz w:val="24"/>
          <w:szCs w:val="24"/>
          <w:highlight w:val="none"/>
          <w:lang w:eastAsia="zh-CN"/>
        </w:rPr>
        <w:t xml:space="preserve">，以及</w:t>
      </w:r>
      <w:r>
        <w:rPr>
          <w:rFonts w:hint="default" w:ascii="Times New Roman" w:hAnsi="Times New Roman" w:eastAsia="宋体" w:cs="Times New Roman"/>
          <w:color w:val="auto"/>
          <w:sz w:val="24"/>
          <w:szCs w:val="24"/>
          <w:highlight w:val="none"/>
          <w:lang w:val="en-US" w:eastAsia="zh-CN"/>
        </w:rPr>
        <w:t xml:space="preserve">是否安装到位，是否能与现有视频平台完成对接，</w:t>
      </w:r>
      <w:r>
        <w:rPr>
          <w:rFonts w:hint="default" w:ascii="Times New Roman" w:hAnsi="Times New Roman" w:eastAsia="宋体" w:cs="Times New Roman"/>
          <w:color w:val="auto"/>
          <w:sz w:val="24"/>
          <w:szCs w:val="24"/>
          <w:highlight w:val="none"/>
        </w:rPr>
        <w:t xml:space="preserve">使用性能是否符合要求等。</w:t>
      </w:r>
      <w:r/>
    </w:p>
    <w:p>
      <w:pPr>
        <w:ind w:firstLine="420"/>
        <w:jc w:val="both"/>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乙方不能完整交付货物及本款规定的单证和工具的，视为未按合同约定交货，乙方负责补齐，因此导致逾期交付的，由乙方承担相关的违约责任。</w:t>
      </w:r>
      <w:r/>
    </w:p>
    <w:p>
      <w:pPr>
        <w:ind w:firstLine="420"/>
        <w:jc w:val="both"/>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验收合格的，由甲方签署验收</w:t>
      </w:r>
      <w:r>
        <w:rPr>
          <w:rFonts w:hint="default" w:ascii="Times New Roman" w:hAnsi="Times New Roman" w:eastAsia="宋体" w:cs="Times New Roman"/>
          <w:color w:val="auto"/>
          <w:sz w:val="24"/>
          <w:szCs w:val="24"/>
          <w:highlight w:val="none"/>
          <w:lang w:val="en-US" w:eastAsia="zh-CN"/>
        </w:rPr>
        <w:t xml:space="preserve">合格表</w:t>
      </w:r>
      <w:r>
        <w:rPr>
          <w:rFonts w:hint="default" w:ascii="Times New Roman" w:hAnsi="Times New Roman" w:eastAsia="宋体" w:cs="Times New Roman"/>
          <w:color w:val="auto"/>
          <w:sz w:val="24"/>
          <w:szCs w:val="24"/>
          <w:highlight w:val="none"/>
        </w:rPr>
        <w:t xml:space="preserve">并加盖单位公章。</w:t>
      </w:r>
      <w:r>
        <w:rPr>
          <w:rFonts w:hint="default" w:ascii="Times New Roman" w:hAnsi="Times New Roman" w:eastAsia="宋体" w:cs="Times New Roman"/>
          <w:color w:val="auto"/>
          <w:sz w:val="24"/>
          <w:szCs w:val="24"/>
          <w:highlight w:val="none"/>
          <w:lang w:eastAsia="zh-CN"/>
        </w:rPr>
        <w:t xml:space="preserve">采购文件</w:t>
      </w:r>
      <w:r>
        <w:rPr>
          <w:rFonts w:hint="default" w:ascii="Times New Roman" w:hAnsi="Times New Roman" w:eastAsia="宋体" w:cs="Times New Roman"/>
          <w:color w:val="auto"/>
          <w:sz w:val="24"/>
          <w:szCs w:val="24"/>
          <w:highlight w:val="none"/>
        </w:rPr>
        <w:t xml:space="preserve">对检验期限另有规定的，从其规定。</w:t>
      </w:r>
      <w:r/>
    </w:p>
    <w:p>
      <w:pPr>
        <w:ind w:firstLine="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第七条：伴随服务／售后服务</w:t>
      </w:r>
      <w:r/>
    </w:p>
    <w:p>
      <w:pPr>
        <w:ind w:firstLine="480"/>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质保期</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pacing w:val="-2"/>
          <w:sz w:val="24"/>
          <w:szCs w:val="24"/>
          <w:highlight w:val="none"/>
          <w:lang w:val="en-US" w:eastAsia="zh-CN"/>
        </w:rPr>
        <w:t xml:space="preserve">3</w:t>
      </w:r>
      <w:r>
        <w:rPr>
          <w:rFonts w:hint="default" w:ascii="Times New Roman" w:hAnsi="Times New Roman" w:eastAsia="宋体" w:cs="Times New Roman"/>
          <w:color w:val="auto"/>
          <w:spacing w:val="-3"/>
          <w:sz w:val="24"/>
          <w:szCs w:val="24"/>
          <w:highlight w:val="none"/>
        </w:rPr>
        <w:t xml:space="preserve">年</w:t>
      </w:r>
      <w:r>
        <w:rPr>
          <w:rFonts w:hint="default" w:ascii="Times New Roman" w:hAnsi="Times New Roman" w:eastAsia="宋体" w:cs="Times New Roman"/>
          <w:color w:val="auto"/>
          <w:sz w:val="24"/>
          <w:szCs w:val="24"/>
          <w:highlight w:val="none"/>
        </w:rPr>
        <w:t xml:space="preserve">（自验收合格之日起开始计算）</w:t>
      </w:r>
      <w:r>
        <w:rPr>
          <w:rFonts w:hint="default" w:ascii="Times New Roman" w:hAnsi="Times New Roman" w:eastAsia="宋体" w:cs="Times New Roman"/>
          <w:color w:val="auto"/>
          <w:spacing w:val="-3"/>
          <w:sz w:val="24"/>
          <w:szCs w:val="24"/>
          <w:highlight w:val="none"/>
        </w:rPr>
        <w:t xml:space="preserve">。</w:t>
      </w:r>
      <w:r/>
    </w:p>
    <w:p>
      <w:pPr>
        <w:ind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乙方提供的货物在质保期内因货物本身的质量问题发生故障，乙方应在</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个工作日内负责免费更换。</w:t>
      </w:r>
      <w:r/>
    </w:p>
    <w:p>
      <w:pPr>
        <w:ind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2.除前款规定外，乙方还应提供下列服务：</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（1）货物的现场安装、调试和/或启动监督；</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（2）就货物的安装、启动、运行及维护等对甲方人员进行免费培训。</w:t>
      </w:r>
      <w:r/>
    </w:p>
    <w:p>
      <w:pPr>
        <w:ind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3.若</w:t>
      </w:r>
      <w:r>
        <w:rPr>
          <w:rFonts w:hint="default" w:ascii="Times New Roman" w:hAnsi="Times New Roman" w:eastAsia="宋体" w:cs="Times New Roman"/>
          <w:color w:val="auto"/>
          <w:sz w:val="24"/>
          <w:szCs w:val="24"/>
          <w:highlight w:val="none"/>
          <w:lang w:eastAsia="zh-CN"/>
        </w:rPr>
        <w:t xml:space="preserve">采购文件</w:t>
      </w:r>
      <w:r>
        <w:rPr>
          <w:rFonts w:hint="default" w:ascii="Times New Roman" w:hAnsi="Times New Roman" w:eastAsia="宋体" w:cs="Times New Roman"/>
          <w:color w:val="auto"/>
          <w:sz w:val="24"/>
          <w:szCs w:val="24"/>
          <w:highlight w:val="none"/>
        </w:rPr>
        <w:t xml:space="preserve">中不包含售后服务的承诺，双方</w:t>
      </w:r>
      <w:r>
        <w:rPr>
          <w:rFonts w:hint="default" w:ascii="Times New Roman" w:hAnsi="Times New Roman" w:eastAsia="宋体" w:cs="Times New Roman"/>
          <w:color w:val="auto"/>
          <w:sz w:val="24"/>
          <w:szCs w:val="24"/>
          <w:highlight w:val="none"/>
          <w:lang w:eastAsia="zh-CN"/>
        </w:rPr>
        <w:t xml:space="preserve">作</w:t>
      </w:r>
      <w:r>
        <w:rPr>
          <w:rFonts w:hint="default" w:ascii="Times New Roman" w:hAnsi="Times New Roman" w:eastAsia="宋体" w:cs="Times New Roman"/>
          <w:color w:val="auto"/>
          <w:sz w:val="24"/>
          <w:szCs w:val="24"/>
          <w:highlight w:val="none"/>
        </w:rPr>
        <w:t xml:space="preserve">如下约定：</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lang w:val="zh-CN"/>
        </w:rPr>
        <w:t xml:space="preserve">期内，乙方负责对其提供的货物整机进行维修和系统维护，不再收取任何费用，但不可抗力（如火灾、雷击等）造成的故障除外。</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zh-CN"/>
        </w:rPr>
        <w:t xml:space="preserve">）货物故障报修的响应时间按乙方投标承诺执行。</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zh-CN"/>
        </w:rPr>
        <w:t xml:space="preserve">）若货物故障在检修8工作小时后仍无法排除，乙方应在48小时内免费提供不低于故障货物规格型号档次的备用货物供甲方使用，直至故障货物修复。</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zh-CN"/>
        </w:rPr>
        <w:t xml:space="preserve">）所有货物保修服务方式均为乙方上门保修，即由乙方派员到货物使用现场维修，由此产生的一切费用均由乙方承担。</w:t>
      </w:r>
      <w:r/>
    </w:p>
    <w:p>
      <w:pPr>
        <w:ind w:firstLine="21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第八条</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履约保证金</w:t>
      </w:r>
      <w:r/>
    </w:p>
    <w:p>
      <w:pPr>
        <w:numPr>
          <w:ilvl w:val="0"/>
          <w:numId w:val="6"/>
        </w:numPr>
        <w:ind w:firstLine="420"/>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履约保证金金额：合同价的10% 。</w:t>
      </w:r>
      <w:r/>
    </w:p>
    <w:p>
      <w:pPr>
        <w:numPr>
          <w:ilvl w:val="0"/>
          <w:numId w:val="6"/>
        </w:numPr>
        <w:ind w:firstLine="420"/>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履约保证金的有效期为该项目验收合格时止。</w:t>
      </w:r>
      <w:r/>
    </w:p>
    <w:p>
      <w:pPr>
        <w:numPr>
          <w:ilvl w:val="0"/>
          <w:numId w:val="6"/>
        </w:num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货物送达甲方指定地点</w:t>
      </w:r>
      <w:r>
        <w:rPr>
          <w:rFonts w:hint="default" w:ascii="Times New Roman" w:hAnsi="Times New Roman" w:eastAsia="宋体" w:cs="Times New Roman"/>
          <w:color w:val="auto"/>
          <w:sz w:val="24"/>
          <w:szCs w:val="24"/>
          <w:highlight w:val="none"/>
          <w:lang w:val="en-US" w:eastAsia="zh-CN"/>
        </w:rPr>
        <w:t xml:space="preserve">安装完成</w:t>
      </w:r>
      <w:r>
        <w:rPr>
          <w:rFonts w:hint="default" w:ascii="Times New Roman" w:hAnsi="Times New Roman" w:eastAsia="宋体" w:cs="Times New Roman"/>
          <w:color w:val="auto"/>
          <w:sz w:val="24"/>
          <w:szCs w:val="24"/>
          <w:highlight w:val="none"/>
        </w:rPr>
        <w:t xml:space="preserve">并经验收合格后，履约保证金无息退还。</w:t>
      </w:r>
      <w:r/>
    </w:p>
    <w:p>
      <w:pPr>
        <w:ind w:firstLine="21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第九条</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货款支付</w:t>
      </w:r>
      <w:r/>
    </w:p>
    <w:p>
      <w:pPr>
        <w:numPr>
          <w:ilvl w:val="0"/>
          <w:numId w:val="7"/>
        </w:numPr>
        <w:ind w:firstLine="42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本合同项下所有款项均以人民币支付。</w:t>
      </w:r>
      <w:r>
        <w:rPr>
          <w:rFonts w:hint="default" w:ascii="Times New Roman" w:hAnsi="Times New Roman" w:eastAsia="宋体" w:cs="Times New Roman"/>
          <w:color w:val="auto"/>
          <w:sz w:val="24"/>
          <w:szCs w:val="24"/>
          <w:highlight w:val="none"/>
          <w:lang w:val="en-US" w:eastAsia="zh-CN"/>
        </w:rPr>
        <w:t xml:space="preserve">费用包含项目期间产生的人工费、差旅费、专家评审费等项目所需的其他费用。</w:t>
      </w:r>
      <w:r/>
    </w:p>
    <w:p>
      <w:pPr>
        <w:numPr>
          <w:ilvl w:val="0"/>
          <w:numId w:val="7"/>
        </w:numPr>
        <w:ind w:firstLine="42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本合同项下的采购资金由甲方自行支付，乙方向甲方开具</w:t>
      </w:r>
      <w:r>
        <w:rPr>
          <w:rFonts w:hint="default" w:ascii="Times New Roman" w:hAnsi="Times New Roman" w:eastAsia="宋体" w:cs="Times New Roman"/>
          <w:color w:val="auto"/>
          <w:sz w:val="24"/>
          <w:szCs w:val="24"/>
          <w:highlight w:val="none"/>
          <w:lang w:val="en-US" w:eastAsia="zh-CN"/>
        </w:rPr>
        <w:t xml:space="preserve">有效</w:t>
      </w:r>
      <w:r>
        <w:rPr>
          <w:rFonts w:hint="default" w:ascii="Times New Roman" w:hAnsi="Times New Roman" w:eastAsia="宋体" w:cs="Times New Roman"/>
          <w:color w:val="auto"/>
          <w:sz w:val="24"/>
          <w:szCs w:val="24"/>
          <w:highlight w:val="none"/>
        </w:rPr>
        <w:t xml:space="preserve">发票。</w:t>
      </w:r>
      <w:r/>
    </w:p>
    <w:p>
      <w:pPr>
        <w:ind w:firstLine="42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eastAsia="zh-CN"/>
        </w:rPr>
        <w:t xml:space="preserve">合同签订后，甲方支付合同总价款的30%作为预付款，设备进场且安装验收合格后付至合同总价款的80%，余款自验收合格之日起满三年后付清合同价的余款（所有款项均不计利息）</w:t>
      </w:r>
      <w:r>
        <w:rPr>
          <w:rFonts w:hint="default" w:ascii="宋体" w:hAnsi="宋体" w:eastAsia="宋体" w:cs="宋体"/>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 </w:t>
      </w:r>
      <w:r/>
    </w:p>
    <w:p>
      <w:pPr>
        <w:ind w:firstLine="420"/>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第十条：违约责任</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zh-CN"/>
        </w:rPr>
        <w:t xml:space="preserve">．如乙方不能交付货物或完成安装调试的，甲方有权扣留全部履约保证金；同时乙方应向甲方支付合同总价5%的违约金。</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zh-CN"/>
        </w:rPr>
        <w:t xml:space="preserve">．乙方逾期交付的，每逾期1天，乙方向甲方偿付合同总额的5‰的滞纳金。如乙方逾期交付达10天，甲方有权解除合同，解除合同的通知自到达乙方时生效，同时甲方有权扣留全部履约保证金；并由乙方按合同总价的5%承担违约金。</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zh-CN"/>
        </w:rPr>
        <w:t xml:space="preserve">．乙方所交付的货物品种、型号、规格不符合合同规定的，甲方有权拒收。甲方拒收的，乙方应向甲方支付货款总额5%的违约金。</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zh-CN"/>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zh-CN"/>
        </w:rPr>
        <w:t xml:space="preserve">．乙方未按</w:t>
      </w:r>
      <w:r>
        <w:rPr>
          <w:rFonts w:hint="default" w:ascii="Times New Roman" w:hAnsi="Times New Roman" w:eastAsia="宋体" w:cs="Times New Roman"/>
          <w:color w:val="auto"/>
          <w:sz w:val="24"/>
          <w:szCs w:val="24"/>
          <w:highlight w:val="none"/>
          <w:lang w:val="en-US" w:eastAsia="zh-CN"/>
        </w:rPr>
        <w:t xml:space="preserve">要求</w:t>
      </w:r>
      <w:r>
        <w:rPr>
          <w:rFonts w:hint="default" w:ascii="Times New Roman" w:hAnsi="Times New Roman" w:eastAsia="宋体" w:cs="Times New Roman"/>
          <w:color w:val="auto"/>
          <w:sz w:val="24"/>
          <w:szCs w:val="24"/>
          <w:highlight w:val="none"/>
          <w:lang w:val="zh-CN"/>
        </w:rPr>
        <w:t xml:space="preserve">的规定向甲方交付履约保证金的，应按应交付履约保证金的100%向甲方支付违约金，该违约金的支付不影响乙方应承担的其他违约责任。</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zh-CN"/>
        </w:rPr>
        <w:t xml:space="preserve">．乙方未按本合同的规定和“服务承诺”提供伴随服务/售后服务的，应按合同总价款的5 %向甲方承担违约责任。</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zh-CN"/>
        </w:rPr>
        <w:t xml:space="preserve">．乙方投标属虚假承诺，或经</w:t>
      </w:r>
      <w:r>
        <w:rPr>
          <w:rFonts w:hint="eastAsia" w:cs="Times New Roman"/>
          <w:color w:val="auto"/>
          <w:sz w:val="24"/>
          <w:szCs w:val="24"/>
          <w:highlight w:val="none"/>
          <w:lang w:val="zh-CN"/>
        </w:rPr>
        <w:t xml:space="preserve">第三方</w:t>
      </w:r>
      <w:r>
        <w:rPr>
          <w:rFonts w:hint="default" w:ascii="Times New Roman" w:hAnsi="Times New Roman" w:eastAsia="宋体" w:cs="Times New Roman"/>
          <w:color w:val="auto"/>
          <w:sz w:val="24"/>
          <w:szCs w:val="24"/>
          <w:highlight w:val="none"/>
          <w:lang w:val="zh-CN"/>
        </w:rPr>
        <w:t xml:space="preserve">部门监测提供的货物不能满足</w:t>
      </w:r>
      <w:r>
        <w:rPr>
          <w:rFonts w:hint="default" w:ascii="Times New Roman" w:hAnsi="Times New Roman" w:eastAsia="宋体" w:cs="Times New Roman"/>
          <w:color w:val="auto"/>
          <w:sz w:val="24"/>
          <w:szCs w:val="24"/>
          <w:highlight w:val="none"/>
          <w:lang w:val="en-US" w:eastAsia="zh-CN"/>
        </w:rPr>
        <w:t xml:space="preserve">招标</w:t>
      </w:r>
      <w:r>
        <w:rPr>
          <w:rFonts w:hint="default" w:ascii="Times New Roman" w:hAnsi="Times New Roman" w:eastAsia="宋体" w:cs="Times New Roman"/>
          <w:color w:val="auto"/>
          <w:sz w:val="24"/>
          <w:szCs w:val="24"/>
          <w:highlight w:val="none"/>
          <w:lang w:val="zh-CN"/>
        </w:rPr>
        <w:t xml:space="preserve">文件要求，或是由于乙方的过错</w:t>
      </w:r>
      <w:r>
        <w:rPr>
          <w:rFonts w:hint="default" w:ascii="Times New Roman" w:hAnsi="Times New Roman" w:eastAsia="宋体" w:cs="Times New Roman"/>
          <w:color w:val="auto"/>
          <w:sz w:val="24"/>
          <w:szCs w:val="24"/>
          <w:highlight w:val="none"/>
          <w:lang w:val="en-US" w:eastAsia="zh-CN"/>
        </w:rPr>
        <w:t xml:space="preserve">导致</w:t>
      </w:r>
      <w:r>
        <w:rPr>
          <w:rFonts w:hint="default" w:ascii="Times New Roman" w:hAnsi="Times New Roman" w:eastAsia="宋体" w:cs="Times New Roman"/>
          <w:color w:val="auto"/>
          <w:sz w:val="24"/>
          <w:szCs w:val="24"/>
          <w:highlight w:val="none"/>
          <w:lang w:val="zh-CN"/>
        </w:rPr>
        <w:t xml:space="preserve">合同无法继续履行的，除乙方履约保证金不予退还外，还应向甲方支付不少于合同总价30%赔偿金。</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 维护与巡检</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从发生故障开始计时，乙方如不能在规定的时间内完成故障修复和设备保养工作，故障修复每超时1次，扣款100元/点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设备保养工作每缺少1次，扣款100元/点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擅自拆除或变化安装位置，每点扣款500元。</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rPr>
        <w:t xml:space="preserve">.因乙方责任不能按合同履约，甲方有权追究乙方所造成的经济、法律和社会责任。签署本合同即视同乙方认可本条款。</w:t>
      </w:r>
      <w:r/>
    </w:p>
    <w:p>
      <w:pPr>
        <w:ind w:firstLine="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第十一条：合同的变更和终止</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除《</w:t>
      </w:r>
      <w:r>
        <w:rPr>
          <w:rFonts w:hint="default" w:ascii="Times New Roman" w:hAnsi="Times New Roman" w:eastAsia="宋体" w:cs="Times New Roman"/>
          <w:color w:val="auto"/>
          <w:sz w:val="24"/>
          <w:szCs w:val="24"/>
          <w:highlight w:val="none"/>
          <w:lang w:eastAsia="zh-CN"/>
        </w:rPr>
        <w:t xml:space="preserve">中华人民共和国政府采购法</w:t>
      </w:r>
      <w:r>
        <w:rPr>
          <w:rFonts w:hint="default" w:ascii="Times New Roman" w:hAnsi="Times New Roman" w:eastAsia="宋体" w:cs="Times New Roman"/>
          <w:color w:val="auto"/>
          <w:sz w:val="24"/>
          <w:szCs w:val="24"/>
          <w:highlight w:val="none"/>
        </w:rPr>
        <w:t xml:space="preserve">》规定的情形外，本合同一经签订，甲乙双方不得擅自变更、中止或终止合同。</w:t>
      </w:r>
      <w:r/>
    </w:p>
    <w:p>
      <w:pPr>
        <w:ind w:firstLine="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第十二条：合同的转让</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乙方不得擅自部分或全部转让其应履行的合同义务。</w:t>
      </w:r>
      <w:r/>
    </w:p>
    <w:p>
      <w:pPr>
        <w:ind w:firstLine="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第十三条：争议的解决</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1.因</w:t>
      </w:r>
      <w:r>
        <w:rPr>
          <w:rFonts w:hint="default" w:ascii="Times New Roman" w:hAnsi="Times New Roman" w:eastAsia="宋体" w:cs="Times New Roman"/>
          <w:color w:val="auto"/>
          <w:sz w:val="24"/>
          <w:szCs w:val="24"/>
          <w:highlight w:val="none"/>
          <w:lang w:val="en-US" w:eastAsia="zh-CN"/>
        </w:rPr>
        <w:t xml:space="preserve">产品</w:t>
      </w:r>
      <w:r>
        <w:rPr>
          <w:rFonts w:hint="default" w:ascii="Times New Roman" w:hAnsi="Times New Roman" w:eastAsia="宋体" w:cs="Times New Roman"/>
          <w:color w:val="auto"/>
          <w:sz w:val="24"/>
          <w:szCs w:val="24"/>
          <w:highlight w:val="none"/>
        </w:rPr>
        <w:t xml:space="preserve">质量问题发生争议的，应当邀请国家认可的质量检测机构对货物质量进行鉴定。货物符合标准的，鉴定费由甲方承担；货物不符合质量标准的，鉴定费由乙方承担。</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2.因履行本合同引起的或与本合同有关的争议，甲、乙双方应首先通过友好协商解决，如果协商不能解决争议，则采取以下方式解决争议：</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向甲方所在地有管辖权的人民法院提起诉讼；</w:t>
      </w:r>
      <w:r/>
    </w:p>
    <w:p>
      <w:pPr>
        <w:ind w:firstLine="42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3.在诉讼期间，本合同应继续履行。</w:t>
      </w:r>
      <w:r/>
    </w:p>
    <w:p>
      <w:pPr>
        <w:ind w:firstLine="420"/>
        <w:jc w:val="left"/>
        <w:pageBreakBefore w:val="0"/>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第十四条：合同生效及其他</w:t>
      </w:r>
      <w:r/>
    </w:p>
    <w:p>
      <w:pPr>
        <w:numPr>
          <w:ilvl w:val="0"/>
          <w:numId w:val="0"/>
        </w:numPr>
        <w:ind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本合同自签订之日起生效。</w:t>
      </w:r>
      <w:r/>
    </w:p>
    <w:p>
      <w:pPr>
        <w:numPr>
          <w:ilvl w:val="0"/>
          <w:numId w:val="0"/>
        </w:numPr>
        <w:ind w:firstLine="480"/>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本合同一式</w:t>
      </w:r>
      <w:r>
        <w:rPr>
          <w:rFonts w:hint="default" w:ascii="Times New Roman" w:hAnsi="Times New Roman" w:eastAsia="宋体" w:cs="Times New Roman"/>
          <w:color w:val="auto"/>
          <w:sz w:val="24"/>
          <w:szCs w:val="24"/>
          <w:highlight w:val="none"/>
          <w:lang w:val="en-US" w:eastAsia="zh-CN"/>
        </w:rPr>
        <w:t xml:space="preserve">肆</w:t>
      </w:r>
      <w:r>
        <w:rPr>
          <w:rFonts w:hint="default" w:ascii="Times New Roman" w:hAnsi="Times New Roman" w:eastAsia="宋体" w:cs="Times New Roman"/>
          <w:color w:val="auto"/>
          <w:sz w:val="24"/>
          <w:szCs w:val="24"/>
          <w:highlight w:val="none"/>
        </w:rPr>
        <w:t xml:space="preserve">份，甲方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乙方各执贰份。</w:t>
      </w:r>
      <w:r/>
    </w:p>
    <w:p>
      <w:pPr>
        <w:ind w:firstLine="42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3.本合同应按照中华人民共和国的现行法律进行解释。</w:t>
      </w:r>
      <w:r/>
    </w:p>
    <w:p>
      <w:pPr>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甲方（采购人盖章）：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乙方（供应商盖章）：  </w:t>
      </w:r>
      <w:r>
        <w:rPr>
          <w:rFonts w:hint="default" w:ascii="Times New Roman" w:hAnsi="Times New Roman" w:eastAsia="宋体" w:cs="Times New Roman"/>
          <w:color w:val="auto"/>
          <w:sz w:val="24"/>
          <w:szCs w:val="24"/>
          <w:highlight w:val="none"/>
          <w:lang w:val="en-US" w:eastAsia="zh-CN"/>
        </w:rPr>
        <w:t xml:space="preserve">     </w:t>
      </w:r>
      <w:r/>
    </w:p>
    <w:p>
      <w:pPr>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法定代表人（委托代理人）</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法定代表人（委托代理人）：</w:t>
      </w:r>
      <w:r>
        <w:rPr>
          <w:rFonts w:hint="default" w:ascii="Times New Roman" w:hAnsi="Times New Roman" w:eastAsia="宋体" w:cs="Times New Roman"/>
          <w:color w:val="auto"/>
          <w:sz w:val="24"/>
          <w:szCs w:val="24"/>
          <w:highlight w:val="none"/>
          <w:lang w:val="en-US" w:eastAsia="zh-CN"/>
        </w:rPr>
        <w:t xml:space="preserve"> </w:t>
      </w:r>
      <w:r/>
    </w:p>
    <w:p>
      <w:pPr>
        <w:jc w:val="left"/>
        <w:pageBreakBefore w:val="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电话：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电话：</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开户银行：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开户银行：</w:t>
      </w:r>
      <w:r/>
    </w:p>
    <w:p>
      <w:pPr>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账号：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账号： </w:t>
      </w:r>
      <w:r>
        <w:rPr>
          <w:rFonts w:hint="default" w:ascii="Times New Roman" w:hAnsi="Times New Roman" w:eastAsia="宋体" w:cs="Times New Roman"/>
          <w:color w:val="auto"/>
          <w:sz w:val="24"/>
          <w:szCs w:val="24"/>
          <w:highlight w:val="none"/>
          <w:lang w:val="en-US" w:eastAsia="zh-CN"/>
        </w:rPr>
        <w:t xml:space="preserve">                             </w:t>
      </w:r>
      <w:r/>
    </w:p>
    <w:p>
      <w:pPr>
        <w:jc w:val="left"/>
        <w:pageBreakBefore w:val="0"/>
        <w:spacing w:line="36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单位地址：                      单位地址：</w:t>
      </w:r>
      <w:r/>
    </w:p>
    <w:p>
      <w:pPr>
        <w:rPr>
          <w:rFonts w:hint="default" w:ascii="Times New Roman" w:hAnsi="Times New Roman" w:eastAsia="宋体" w:cs="Times New Roman"/>
          <w:bCs/>
          <w:color w:val="auto"/>
          <w:sz w:val="44"/>
          <w:szCs w:val="21"/>
          <w:highlight w:val="none"/>
        </w:rPr>
      </w:pPr>
      <w:r>
        <w:rPr>
          <w:rFonts w:hint="default" w:ascii="Times New Roman" w:hAnsi="Times New Roman" w:eastAsia="宋体" w:cs="Times New Roman"/>
          <w:bCs/>
          <w:color w:val="auto"/>
          <w:sz w:val="44"/>
          <w:szCs w:val="21"/>
          <w:highlight w:val="none"/>
        </w:rPr>
        <w:br w:type="page" w:clear="all"/>
      </w:r>
      <w:bookmarkEnd w:id="267"/>
      <w:r/>
    </w:p>
    <w:p>
      <w:pPr>
        <w:numPr>
          <w:ilvl w:val="0"/>
          <w:numId w:val="8"/>
        </w:numPr>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t xml:space="preserve">采购需求</w:t>
      </w:r>
      <w:bookmarkEnd w:id="268"/>
      <w:r/>
      <w:bookmarkEnd w:id="269"/>
      <w:r/>
      <w:bookmarkEnd w:id="270"/>
      <w:r/>
      <w:bookmarkEnd w:id="274"/>
      <w:r/>
      <w:bookmarkEnd w:id="275"/>
      <w:r/>
      <w:r/>
    </w:p>
    <w:p>
      <w:pPr>
        <w:pageBreakBefore w:val="0"/>
        <w:spacing w:line="360" w:lineRule="auto"/>
        <w:rPr>
          <w:rFonts w:hint="eastAsia" w:ascii="宋体" w:hAnsi="宋体" w:cs="宋体"/>
          <w:b/>
          <w:bCs/>
          <w:color w:val="000000"/>
          <w:sz w:val="24"/>
          <w:szCs w:val="24"/>
          <w:highlight w:val="none"/>
          <w:lang w:val="en-US" w:eastAsia="zh-CN"/>
        </w:rPr>
      </w:pPr>
      <w:r/>
      <w:bookmarkStart w:id="276" w:name="_Toc26554093"/>
      <w:r/>
      <w:bookmarkStart w:id="277" w:name="_Toc49090575"/>
      <w:r>
        <w:rPr>
          <w:rFonts w:hint="eastAsia" w:ascii="宋体" w:hAnsi="宋体" w:cs="宋体"/>
          <w:b/>
          <w:bCs/>
          <w:color w:val="000000"/>
          <w:sz w:val="24"/>
          <w:szCs w:val="24"/>
          <w:highlight w:val="none"/>
          <w:lang w:val="en-US" w:eastAsia="zh-CN"/>
        </w:rPr>
        <w:t xml:space="preserve">一、政府采购中实施本国产品标准及相关政策</w:t>
      </w:r>
      <w:r/>
    </w:p>
    <w:p>
      <w:pPr>
        <w:ind w:firstLine="422"/>
        <w:pageBreakBefore w:val="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1</w:t>
      </w:r>
      <w:r>
        <w:rPr>
          <w:rFonts w:hint="eastAsia" w:ascii="宋体" w:hAnsi="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本项目对采购本国产品给予政策支持，具体内容见招标文件“第五章 评标方法与评标标准”。</w:t>
      </w:r>
      <w:r/>
    </w:p>
    <w:p>
      <w:pPr>
        <w:ind w:firstLine="422"/>
        <w:pageBreakBefore w:val="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2</w:t>
      </w:r>
      <w:r>
        <w:rPr>
          <w:rFonts w:hint="eastAsia" w:ascii="宋体" w:hAnsi="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pageBreakBefore w:val="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3</w:t>
      </w:r>
      <w:r>
        <w:rPr>
          <w:rFonts w:hint="eastAsia" w:ascii="宋体" w:hAnsi="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项目基本情况</w:t>
      </w:r>
      <w:r/>
    </w:p>
    <w:p>
      <w:pPr>
        <w:ind w:firstLine="422"/>
        <w:pageBreakBefore w:val="0"/>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rPr>
        <w:t xml:space="preserve">项目名称：</w:t>
      </w:r>
      <w:r>
        <w:rPr>
          <w:rFonts w:hint="eastAsia" w:ascii="宋体" w:hAnsi="宋体" w:cs="宋体"/>
          <w:b w:val="0"/>
          <w:bCs w:val="0"/>
          <w:color w:val="auto"/>
          <w:szCs w:val="21"/>
          <w:highlight w:val="none"/>
          <w:lang w:eastAsia="zh-CN"/>
        </w:rPr>
        <w:t xml:space="preserve">区(镇)监测能力提升工程；</w:t>
      </w:r>
      <w:r/>
    </w:p>
    <w:p>
      <w:pPr>
        <w:ind w:firstLine="422"/>
        <w:pageBreakBefore w:val="0"/>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预算金额：</w:t>
      </w:r>
      <w:r>
        <w:rPr>
          <w:rFonts w:hint="eastAsia" w:ascii="宋体" w:hAnsi="宋体" w:cs="宋体"/>
          <w:b w:val="0"/>
          <w:bCs w:val="0"/>
          <w:color w:val="auto"/>
          <w:szCs w:val="21"/>
          <w:highlight w:val="none"/>
          <w:lang w:val="en-US" w:eastAsia="zh-CN"/>
        </w:rPr>
        <w:t xml:space="preserve">162.619371万</w:t>
      </w:r>
      <w:r>
        <w:rPr>
          <w:rFonts w:hint="eastAsia" w:ascii="宋体" w:hAnsi="宋体" w:cs="宋体"/>
          <w:b w:val="0"/>
          <w:bCs w:val="0"/>
          <w:color w:val="auto"/>
          <w:szCs w:val="21"/>
          <w:highlight w:val="none"/>
          <w:lang w:eastAsia="zh-CN"/>
        </w:rPr>
        <w:t xml:space="preserve">元；</w:t>
      </w:r>
      <w:r/>
    </w:p>
    <w:p>
      <w:pPr>
        <w:ind w:firstLine="422"/>
        <w:pageBreakBefore w:val="0"/>
        <w:spacing w:line="360" w:lineRule="auto"/>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最高限价</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154.488402</w:t>
      </w:r>
      <w:r>
        <w:rPr>
          <w:rFonts w:hint="eastAsia" w:ascii="宋体" w:hAnsi="宋体" w:cs="宋体"/>
          <w:b w:val="0"/>
          <w:bCs w:val="0"/>
          <w:color w:val="auto"/>
          <w:szCs w:val="21"/>
          <w:highlight w:val="none"/>
          <w:lang w:val="en-US" w:eastAsia="zh-CN"/>
        </w:rPr>
        <w:t xml:space="preserve">万</w:t>
      </w:r>
      <w:r>
        <w:rPr>
          <w:rFonts w:hint="eastAsia" w:ascii="宋体" w:hAnsi="宋体" w:cs="宋体"/>
          <w:b w:val="0"/>
          <w:bCs w:val="0"/>
          <w:color w:val="auto"/>
          <w:szCs w:val="21"/>
          <w:highlight w:val="none"/>
          <w:lang w:eastAsia="zh-CN"/>
        </w:rPr>
        <w:t xml:space="preserve">元</w:t>
      </w:r>
      <w:r>
        <w:rPr>
          <w:rFonts w:hint="eastAsia" w:ascii="宋体" w:hAnsi="宋体" w:eastAsia="宋体" w:cs="宋体"/>
          <w:b w:val="0"/>
          <w:bCs w:val="0"/>
          <w:color w:val="auto"/>
          <w:highlight w:val="none"/>
        </w:rPr>
        <w:t xml:space="preserve">（超过限价报价的，作为无效响应处理）</w:t>
      </w:r>
      <w:r>
        <w:rPr>
          <w:rFonts w:hint="eastAsia" w:ascii="宋体" w:hAnsi="宋体" w:cs="宋体"/>
          <w:b w:val="0"/>
          <w:bCs w:val="0"/>
          <w:color w:val="auto"/>
          <w:highlight w:val="none"/>
          <w:lang w:eastAsia="zh-CN"/>
        </w:rPr>
        <w:t xml:space="preserve">；</w:t>
      </w:r>
      <w:r/>
    </w:p>
    <w:p>
      <w:pPr>
        <w:ind w:firstLine="422"/>
        <w:pageBreakBefore w:val="0"/>
        <w:spacing w:line="360" w:lineRule="auto"/>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4、</w:t>
      </w:r>
      <w:r>
        <w:rPr>
          <w:rFonts w:hint="eastAsia" w:ascii="宋体" w:hAnsi="宋体" w:eastAsia="宋体" w:cs="宋体"/>
          <w:b w:val="0"/>
          <w:bCs w:val="0"/>
          <w:color w:val="auto"/>
          <w:highlight w:val="none"/>
        </w:rPr>
        <w:t xml:space="preserve">采购需求：</w:t>
      </w:r>
      <w:r>
        <w:rPr>
          <w:rFonts w:hint="eastAsia" w:ascii="宋体" w:hAnsi="宋体" w:cs="Calibri"/>
          <w:highlight w:val="none"/>
        </w:rPr>
        <w:t xml:space="preserve">本项目为区（镇）监测能力提升工程，需通过部署双光谱热成像筒型摄像机、高空球型鹰眼等设备构建全域可视化监测体系，实现烟火检测、全景监控等功能，完成10家企业视频及生态走廊等点位视频设备统一接入平台，同时搭建传输、存储、管理平台，满足视频汇聚、存储、回放、诊断、运维等需求</w:t>
      </w:r>
      <w:r>
        <w:rPr>
          <w:rFonts w:hint="eastAsia" w:ascii="宋体" w:hAnsi="宋体" w:cs="Calibri"/>
          <w:highlight w:val="none"/>
          <w:lang w:eastAsia="zh-CN"/>
        </w:rPr>
        <w:t xml:space="preserve">。</w:t>
      </w:r>
      <w:r/>
    </w:p>
    <w:p>
      <w:pPr>
        <w:ind w:firstLine="422"/>
        <w:pageBreakBefore w:val="0"/>
        <w:spacing w:line="360" w:lineRule="auto"/>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本次采购包括但不限于设备的采购、安装调试、使用培训、售后及质保期服务等内容</w:t>
      </w:r>
      <w:r>
        <w:rPr>
          <w:rFonts w:hint="eastAsia" w:ascii="宋体" w:hAnsi="宋体" w:cs="宋体"/>
          <w:b w:val="0"/>
          <w:bCs w:val="0"/>
          <w:color w:val="auto"/>
          <w:highlight w:val="none"/>
          <w:lang w:eastAsia="zh-CN"/>
        </w:rPr>
        <w:t xml:space="preserve">；</w:t>
      </w:r>
      <w:r/>
    </w:p>
    <w:p>
      <w:pPr>
        <w:ind w:firstLine="420"/>
        <w:jc w:val="both"/>
        <w:keepLines/>
        <w:keepNext/>
        <w:pageBreakBefore w:val="0"/>
        <w:spacing w:line="360" w:lineRule="auto"/>
        <w:rPr>
          <w:rFonts w:hint="eastAsia" w:ascii="宋体" w:hAnsi="宋体" w:cs="宋体"/>
          <w:b w:val="0"/>
          <w:bCs w:val="0"/>
          <w:color w:val="auto"/>
          <w:highlight w:val="none"/>
          <w:lang w:val="en-US" w:eastAsia="zh-CN"/>
        </w:rPr>
        <w:outlineLvl w:val="1"/>
      </w:pPr>
      <w:r>
        <w:rPr>
          <w:rFonts w:hint="eastAsia" w:ascii="宋体" w:hAnsi="宋体"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合同履行期限：</w:t>
      </w:r>
      <w:r>
        <w:rPr>
          <w:rFonts w:hint="eastAsia" w:ascii="宋体" w:hAnsi="宋体" w:cs="宋体"/>
          <w:b w:val="0"/>
          <w:bCs w:val="0"/>
          <w:color w:val="auto"/>
          <w:highlight w:val="none"/>
          <w:lang w:val="en-US" w:eastAsia="zh-CN"/>
        </w:rPr>
        <w:t xml:space="preserve">合同签订之日起，120日历天内完成供货安装、调试并交付使用；</w:t>
      </w:r>
      <w:r/>
    </w:p>
    <w:p>
      <w:pPr>
        <w:ind w:firstLine="420"/>
        <w:jc w:val="both"/>
        <w:keepLines/>
        <w:keepNext/>
        <w:pageBreakBefore w:val="0"/>
        <w:spacing w:line="360" w:lineRule="auto"/>
        <w:rPr>
          <w:rFonts w:hint="eastAsia" w:ascii="宋体" w:hAnsi="宋体" w:cs="宋体"/>
          <w:b w:val="0"/>
          <w:bCs w:val="0"/>
          <w:color w:val="auto"/>
          <w:highlight w:val="none"/>
          <w:lang w:val="en-US" w:eastAsia="zh-CN"/>
        </w:rPr>
        <w:outlineLvl w:val="1"/>
      </w:pPr>
      <w:r>
        <w:rPr>
          <w:rFonts w:hint="eastAsia" w:ascii="宋体" w:hAnsi="宋体" w:cs="宋体"/>
          <w:b w:val="0"/>
          <w:bCs w:val="0"/>
          <w:color w:val="auto"/>
          <w:highlight w:val="none"/>
          <w:lang w:val="en-US" w:eastAsia="zh-CN"/>
        </w:rPr>
      </w:r>
      <w:r/>
    </w:p>
    <w:p>
      <w:pPr>
        <w:pageBreakBefore w:val="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三、采购清单</w:t>
      </w:r>
      <w:r/>
    </w:p>
    <w:tbl>
      <w:tblPr>
        <w:tblStyle w:val="779"/>
        <w:tblW w:w="8745"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1205"/>
        <w:gridCol w:w="5072"/>
        <w:gridCol w:w="484"/>
        <w:gridCol w:w="450"/>
        <w:gridCol w:w="1098"/>
      </w:tblGrid>
      <w:tr>
        <w:trPr>
          <w:trHeight w:val="312"/>
        </w:trPr>
        <w:tc>
          <w:tcPr>
            <w:gridSpan w:val="6"/>
            <w:shd w:val="clear" w:color="auto" w:fill="auto"/>
            <w:tcW w:w="8745"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区(镇)监测能力提升工程</w:t>
            </w:r>
            <w:r/>
          </w:p>
        </w:tc>
      </w:tr>
      <w:tr>
        <w:trPr>
          <w:trHeight w:val="0"/>
        </w:trPr>
        <w:tc>
          <w:tcPr>
            <w:shd w:val="clear" w:color="auto" w:fill="auto"/>
            <w:tcW w:w="436" w:type="dxa"/>
            <w:vAlign w:val="center"/>
            <w:textDirection w:val="lrTb"/>
            <w:noWrap w:val="false"/>
          </w:tcPr>
          <w:p>
            <w:pPr>
              <w:jc w:val="center"/>
              <w:keepLines w:val="0"/>
              <w:keepNext w:val="0"/>
              <w:widowControl/>
              <w:rPr>
                <w:rFonts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序号</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名称</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技术规格</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单位</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数量</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备注</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双光谱热成像筒型摄像机</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双光谱筒型摄像机</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1、热成像传感器类型：氧化钒非制冷型探测器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2、热成像像元尺寸：≥17μm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3、热成像分辨率：≥160 × 120</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4、热成像焦距：≥10 mm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5、热成像视场角：</w:t>
            </w:r>
            <w:r>
              <w:rPr>
                <w:rFonts w:ascii="Segoe UI" w:hAnsi="Segoe UI" w:eastAsia="Segoe UI" w:cs="Segoe UI"/>
                <w:i w:val="0"/>
                <w:iCs w:val="0"/>
                <w:caps w:val="0"/>
                <w:color w:val="auto"/>
                <w:spacing w:val="0"/>
                <w:sz w:val="16"/>
                <w:szCs w:val="16"/>
                <w:highlight w:val="none"/>
                <w:shd w:val="clear" w:color="auto" w:fill="ffffff"/>
              </w:rPr>
              <w:t xml:space="preserve">水平≥15°，垂直≥11°</w:t>
            </w:r>
            <w:r>
              <w:rPr>
                <w:rFonts w:hint="eastAsia" w:ascii="微软雅黑" w:hAnsi="微软雅黑" w:eastAsia="微软雅黑" w:cs="微软雅黑"/>
                <w:i w:val="0"/>
                <w:iCs w:val="0"/>
                <w:color w:val="auto"/>
                <w:sz w:val="16"/>
                <w:szCs w:val="16"/>
                <w:highlight w:val="none"/>
                <w:u w:val="none"/>
                <w:lang w:val="en-US" w:eastAsia="zh-CN" w:bidi="ar"/>
              </w:rPr>
              <w:br/>
            </w:r>
            <w:r>
              <w:rPr>
                <w:rFonts w:hint="eastAsia" w:ascii="微软雅黑" w:hAnsi="微软雅黑" w:eastAsia="微软雅黑" w:cs="微软雅黑"/>
                <w:i w:val="0"/>
                <w:iCs w:val="0"/>
                <w:color w:val="auto"/>
                <w:sz w:val="16"/>
                <w:szCs w:val="16"/>
                <w:highlight w:val="none"/>
                <w:u w:val="none"/>
                <w:lang w:val="en-US" w:eastAsia="zh-CN" w:bidi="ar"/>
              </w:rPr>
              <w:t xml:space="preserve">6、</w:t>
            </w:r>
            <w:r>
              <w:rPr>
                <w:rFonts w:hint="eastAsia" w:ascii="微软雅黑" w:hAnsi="微软雅黑" w:eastAsia="微软雅黑" w:cs="微软雅黑"/>
                <w:i w:val="0"/>
                <w:iCs w:val="0"/>
                <w:color w:val="000000"/>
                <w:sz w:val="16"/>
                <w:szCs w:val="16"/>
                <w:highlight w:val="none"/>
                <w:u w:val="none"/>
                <w:lang w:val="en-US" w:eastAsia="zh-CN" w:bidi="ar"/>
              </w:rPr>
              <w:t xml:space="preserve">测温范围：测温范围：不少于-20℃~150℃</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7、测温精度：测温精度：不少于±8℃或者读数的±8%（取最大值）</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8、吸烟检测最远报警距离：≥10m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9、防火最远报警距离（以0.05</w:t>
            </w:r>
            <w:r>
              <w:rPr>
                <w:rFonts w:hint="eastAsia" w:ascii="宋体" w:hAnsi="宋体" w:eastAsia="宋体" w:cs="宋体"/>
                <w:i w:val="0"/>
                <w:iCs w:val="0"/>
                <w:color w:val="000000"/>
                <w:sz w:val="16"/>
                <w:szCs w:val="16"/>
                <w:highlight w:val="none"/>
                <w:u w:val="none"/>
                <w:lang w:val="en-US" w:eastAsia="zh-CN" w:bidi="ar"/>
              </w:rPr>
              <w:t xml:space="preserve">㎡</w:t>
            </w:r>
            <w:r>
              <w:rPr>
                <w:rFonts w:hint="eastAsia" w:ascii="微软雅黑" w:hAnsi="微软雅黑" w:eastAsia="微软雅黑" w:cs="微软雅黑"/>
                <w:i w:val="0"/>
                <w:iCs w:val="0"/>
                <w:color w:val="000000"/>
                <w:sz w:val="16"/>
                <w:szCs w:val="16"/>
                <w:highlight w:val="none"/>
                <w:u w:val="none"/>
                <w:lang w:val="en-US" w:eastAsia="zh-CN" w:bidi="ar"/>
              </w:rPr>
              <w:t xml:space="preserve">高温源或0.1</w:t>
            </w:r>
            <w:r>
              <w:rPr>
                <w:rFonts w:hint="eastAsia" w:ascii="宋体" w:hAnsi="宋体" w:eastAsia="宋体" w:cs="宋体"/>
                <w:i w:val="0"/>
                <w:iCs w:val="0"/>
                <w:color w:val="000000"/>
                <w:sz w:val="16"/>
                <w:szCs w:val="16"/>
                <w:highlight w:val="none"/>
                <w:u w:val="none"/>
                <w:lang w:val="en-US" w:eastAsia="zh-CN" w:bidi="ar"/>
              </w:rPr>
              <w:t xml:space="preserve">㎡</w:t>
            </w:r>
            <w:r>
              <w:rPr>
                <w:rFonts w:hint="eastAsia" w:ascii="微软雅黑" w:hAnsi="微软雅黑" w:eastAsia="微软雅黑" w:cs="微软雅黑"/>
                <w:i w:val="0"/>
                <w:iCs w:val="0"/>
                <w:color w:val="000000"/>
                <w:sz w:val="16"/>
                <w:szCs w:val="16"/>
                <w:highlight w:val="none"/>
                <w:u w:val="none"/>
                <w:lang w:val="en-US" w:eastAsia="zh-CN" w:bidi="ar"/>
              </w:rPr>
              <w:t xml:space="preserve">火焰为准）：≥20m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10、可见光传感器类型：≥400万像素，星光级CMOS（≥1/2.7"）</w:t>
            </w:r>
            <w:r/>
          </w:p>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11、可见光焦距&amp;视场角：≥8mm,接近或优于39.4°×22.1°</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12、可见光分辨率：≥2560×1440（通用400万标准）</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13、烟雾最远报警距离（以1㎡为准）：≥20m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14、宽动态：≥120dB</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15、最低照度：≤0.005Lux（彩色），0 Lux（红外开启）</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16、可见光补光功能：红外补光最远可达30米</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17、可见光光圈值：不低于F1.6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18、网口：至少1路RJ45接口10/100M自适应以太网口</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19、SD卡存储：内置Micro SD卡插槽，支持Micro SD/SDHC/SDXC卡（最大支持512G），可支持手动录像/报警录像</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20、模拟视频输出：支持</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21、本地输出：支持本地输出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22、电源输入：DC 12 V（±25%）或PoE（符合802.3af）。</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23、防护等级：不低于IP67</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附加功能1</w:t>
            </w:r>
            <w:r>
              <w:rPr>
                <w:rFonts w:hint="eastAsia" w:ascii="微软雅黑" w:hAnsi="微软雅黑" w:eastAsia="微软雅黑" w:cs="微软雅黑"/>
                <w:i w:val="0"/>
                <w:iCs w:val="0"/>
                <w:color w:val="000000"/>
                <w:sz w:val="16"/>
                <w:szCs w:val="16"/>
                <w:highlight w:val="none"/>
                <w:u w:val="none"/>
                <w:lang w:val="en-US" w:eastAsia="zh-CN" w:bidi="ar"/>
              </w:rPr>
              <w:t xml:space="preserve">-</w:t>
            </w:r>
            <w:r>
              <w:rPr>
                <w:rFonts w:hint="eastAsia" w:ascii="微软雅黑" w:hAnsi="微软雅黑" w:eastAsia="微软雅黑" w:cs="微软雅黑"/>
                <w:i w:val="0"/>
                <w:iCs w:val="0"/>
                <w:color w:val="0000ff"/>
                <w:sz w:val="16"/>
                <w:szCs w:val="16"/>
                <w:highlight w:val="none"/>
                <w:u w:val="none"/>
                <w:lang w:val="en-US" w:eastAsia="zh-CN" w:bidi="ar"/>
              </w:rPr>
              <w:t xml:space="preserve">烟火报警功能：可见光视频图像:支持对监控画面中≥100x100个像素点的烟雾目标进行检测并给出报警提示；热成像视频图像:支持对监控画面中25x25像素的火焰目标进行检测并给出报警提示（需提供第三方检测机构出具的产品检测报告并加盖投标人公章）</w:t>
            </w:r>
            <w:r>
              <w:rPr>
                <w:rFonts w:hint="eastAsia" w:ascii="微软雅黑" w:hAnsi="微软雅黑" w:eastAsia="微软雅黑" w:cs="微软雅黑"/>
                <w:i w:val="0"/>
                <w:iCs w:val="0"/>
                <w:color w:val="0000ff"/>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加功能2-宽温工作性能：温度85±3℃，持续时间不低于2h，样机处于工作状态，试验后样机应能正常工作；温度-60±3℃，持续时间不低于2h，样机处于工作状态，试验后样机应能正常工作（需提供第三方检测机构出具的产品检测报告并加盖投标人公章）</w:t>
            </w:r>
            <w:r>
              <w:rPr>
                <w:rFonts w:hint="eastAsia" w:ascii="微软雅黑" w:hAnsi="微软雅黑" w:eastAsia="微软雅黑" w:cs="微软雅黑"/>
                <w:i w:val="0"/>
                <w:iCs w:val="0"/>
                <w:color w:val="0000ff"/>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附加功能3-智能报警过滤功能：可对触发高温报警的目标进行识别和过滤可过滤的目标类型，如卡车、吊车、挖掘机、推土机、汽车尾气等（需提供第三方检测机构出具的产品检测报告并加盖投标人公章）</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非防爆，长江生态走廊，道路上安装。</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7寸联动跟随红外球机</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1、400万不低于23倍光学变倍，16倍数字变倍</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2、设备支持人车检测信息叠加至码流，配合后端NVR配合实现图搜或文搜的功能</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3、采用高效补光阵列，红外补光≥150m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4、支持区域入侵、越界等智能侦测并联动跟随</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5、支持≥2560×1440@30fps高清画面输出</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6、支持双mic功能</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7、内置加热玻璃，支持自动除雾</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8、至少支持2进1出报警接口，1进1出音频接口、最大支持512G microSD卡存储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9、传感器类型：不低于1/2.8＂ progressive scan CMOS</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10、最低照度：彩色：≤0.005Lux @ (F1.6，AGC ON)；黑白：       ≥0.001Lux @(F1.6，AGC ON) ；0 Lux with IR</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11、宽动态：支持真宽动态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12、焦距：4.8 mm~110 mm，23倍光学变倍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13、视场角：水平视场角：2.7°~55°（望远~广角）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14、垂直视场角：1.5°~33°（望远~广角）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15、对角视场角：3.1°~61.5°（望远~广角）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16、补光灯类型：红外补光</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17、红外照射距离：≥150 m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18、水平范围：0-360°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19、垂直范围：-15°-90°(自动翻转)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20、水平速度：水平键控速度：0.1°-160°/s,速度可设;水平预置点速度：大于等于240°/s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21、垂直速度：垂直键控速度：0.1°-120°/s,速度可设;垂直预置点速度：大于等于200°/s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22、主码流帧率分辨率：50 Hz：25 fps（2560 × 1440，1920 × 1080，1280 × 960，1280 × 720）</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60 Hz：30 fps（2560 × 1440，1920 × 1080，1280 × 960，1280 × 720）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23、视频压缩标准：H.265;H.264;MJPEG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24、内置麦克风：支持双mic功能，拾音距离≥8 m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25、网络接口：RJ45网口，自适应10 M/100 M网络数据 SD卡扩展：支持MicroSD/MicroSDHC/MicroSDXC卡，支持小于等于512 GB</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26、报警：2路报警输入，1路报警输出</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音频：1路音频输入，音频峰值：2-2.4 V[p-p]，输入阻抗：1 kΩ±10%</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27、路音频输出，线性电平，阻抗:600 Ω</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28、供电方式：DC36V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29、电流及功耗：最大功耗：≤24 W（其中除雾加热1.6 W，补光灯12 W）</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30、工作温湿度：-30℃-65℃;湿度小于等于90%(无凝结)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31、恢复出厂设置：支持  </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32、除雾：加热玻璃除雾</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33、防护：IP66，符合GB/T 17626.5 认证标准</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W w:w="1098" w:type="dxa"/>
            <w:vAlign w:val="center"/>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lang w:val="en-US" w:eastAsia="zh-CN" w:bidi="ar"/>
              </w:rPr>
              <w:t xml:space="preserve">非防爆，长江生态走廊，道路上安装。</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ascii="Segoe UI" w:hAnsi="Segoe UI" w:eastAsia="Segoe UI" w:cs="Segoe UI"/>
                <w:i w:val="0"/>
                <w:iCs w:val="0"/>
                <w:caps w:val="0"/>
                <w:color w:val="0f1115"/>
                <w:spacing w:val="0"/>
                <w:sz w:val="16"/>
                <w:szCs w:val="16"/>
                <w:highlight w:val="none"/>
                <w:shd w:val="clear" w:color="auto" w:fill="ffffff"/>
              </w:rPr>
              <w:t xml:space="preserve">多目全景拼接摄像机</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多目全景拼接摄像机（≥1600万像素，180°全景AR）</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1、传感器类型：不低于【全景1/1.8英寸逐行扫描CMOS,【细节】不低于1/1.2＂ progressive scan CMOS</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2、最低照度：【全景】≤0.0005Lux/F1.0（彩色），≤0.0001Lux/F1.0（黑白）；≤0.0005Lux/F1.5（彩色），≤0.0001Lux/F1.5（黑白），0 Lux with IR</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3、宽动态：细节支持≥120dB超宽动态</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4、光学变倍：≥45倍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5、焦距：≥【全景】2 mm；【细节】不低于7.2~320 mm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6、红外照射距离：≥500m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7、主码流帧率分辨率：全景：50Hz下≥25fps；支持分辨率不低于6072×2640</w:t>
            </w:r>
            <w:r/>
          </w:p>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8、细节：50Hz:≥25fps (不低于3840×2160)；60Hz:≥30fps(不低于3840×2160)</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9、视频压缩标准：H.265;H.264;MJPEG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10、卫星定位：支持北斗卫星定位</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11、陀螺仪：支持</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12、电子罗盘：支持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13、网络接口：RJ45网口;自适应10M/100M/1000M网络数据</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14、供电方式：DC36V；</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15、除雾：支持</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16、防护：不低于IP67;</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17、重量：不超过22.5KG；</w:t>
            </w:r>
            <w:r>
              <w:rPr>
                <w:rFonts w:hint="eastAsia" w:ascii="微软雅黑" w:hAnsi="微软雅黑" w:eastAsia="微软雅黑" w:cs="微软雅黑"/>
                <w:i w:val="0"/>
                <w:iCs w:val="0"/>
                <w:color w:val="ff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18、安装接口：支持双接口；</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加功能1-全景多种拼接功能：支持默认拼接、手动拼接、自动拼接不少于3种拼接模式；自动拼接模式下设备可支持自动获取特征并进行拼接。在全景拼接模式下，垂直视场角不小于110°，水平视场角不小于180°。可支持将4个全景视频图像进行拼接，实现不小于180°拼接画面显示，并抓拍拼接后的图片。（需提供第三方检测机构出具的产品检测报告并加盖投标人公章）</w:t>
            </w:r>
            <w:r>
              <w:rPr>
                <w:rFonts w:hint="eastAsia" w:ascii="微软雅黑" w:hAnsi="微软雅黑" w:eastAsia="微软雅黑" w:cs="微软雅黑"/>
                <w:i w:val="0"/>
                <w:iCs w:val="0"/>
                <w:color w:val="0000ff"/>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附加功能2-</w:t>
            </w:r>
            <w:r>
              <w:rPr>
                <w:rFonts w:hint="default" w:ascii="微软雅黑" w:hAnsi="微软雅黑" w:eastAsia="微软雅黑" w:cs="微软雅黑"/>
                <w:i w:val="0"/>
                <w:iCs w:val="0"/>
                <w:color w:val="0000ff"/>
                <w:sz w:val="16"/>
                <w:szCs w:val="16"/>
                <w:highlight w:val="none"/>
                <w:u w:val="none"/>
                <w:lang w:val="en-US" w:eastAsia="zh-CN" w:bidi="ar"/>
              </w:rPr>
              <w:t xml:space="preserve">光学防抖抗震性能</w:t>
            </w:r>
            <w:r>
              <w:rPr>
                <w:rFonts w:hint="eastAsia" w:ascii="微软雅黑" w:hAnsi="微软雅黑" w:eastAsia="微软雅黑" w:cs="微软雅黑"/>
                <w:i w:val="0"/>
                <w:iCs w:val="0"/>
                <w:color w:val="0000ff"/>
                <w:sz w:val="16"/>
                <w:szCs w:val="16"/>
                <w:highlight w:val="none"/>
                <w:u w:val="none"/>
                <w:lang w:val="en-US" w:eastAsia="zh-CN" w:bidi="ar"/>
              </w:rPr>
              <w:t xml:space="preserve">：将镜头倍率设置为最大，快门设置不低于1/25s，在振动台振幅不大于0.3°，振动频率不大于10Hz情况下，设备视场角应无明显变化，视频图像在振动过程中应保持稳定清晰。（需提供第三方检测机构出具的产品检测报告并加盖投标人公章）</w:t>
            </w:r>
            <w:r>
              <w:rPr>
                <w:rFonts w:hint="eastAsia" w:ascii="微软雅黑" w:hAnsi="微软雅黑" w:eastAsia="微软雅黑" w:cs="微软雅黑"/>
                <w:i w:val="0"/>
                <w:iCs w:val="0"/>
                <w:color w:val="0000ff"/>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附加功能3-</w:t>
            </w:r>
            <w:r>
              <w:rPr>
                <w:rFonts w:hint="default" w:ascii="微软雅黑" w:hAnsi="微软雅黑" w:eastAsia="微软雅黑" w:cs="微软雅黑"/>
                <w:i w:val="0"/>
                <w:iCs w:val="0"/>
                <w:color w:val="0000ff"/>
                <w:sz w:val="16"/>
                <w:szCs w:val="16"/>
                <w:highlight w:val="none"/>
                <w:u w:val="none"/>
                <w:lang w:val="en-US" w:eastAsia="zh-CN" w:bidi="ar"/>
              </w:rPr>
              <w:t xml:space="preserve">近距底部监控</w:t>
            </w:r>
            <w:r>
              <w:rPr>
                <w:rFonts w:hint="eastAsia" w:ascii="微软雅黑" w:hAnsi="微软雅黑" w:eastAsia="微软雅黑" w:cs="微软雅黑"/>
                <w:i w:val="0"/>
                <w:iCs w:val="0"/>
                <w:color w:val="0000ff"/>
                <w:sz w:val="16"/>
                <w:szCs w:val="16"/>
                <w:highlight w:val="none"/>
                <w:u w:val="none"/>
                <w:lang w:val="en-US" w:eastAsia="zh-CN" w:bidi="ar"/>
              </w:rPr>
              <w:t xml:space="preserve">性能：设备水平安装在不低于8m高度时，可通过全景通道监控设备正下方8m且水平距离0.5m处的行人目标。（需提供第三方检测机构出具的产品检测报告并加盖投标人公章）</w:t>
            </w:r>
            <w:r>
              <w:rPr>
                <w:rFonts w:hint="eastAsia" w:ascii="微软雅黑" w:hAnsi="微软雅黑" w:eastAsia="微软雅黑" w:cs="微软雅黑"/>
                <w:i w:val="0"/>
                <w:iCs w:val="0"/>
                <w:color w:val="0000ff"/>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附加功能4-</w:t>
            </w:r>
            <w:r>
              <w:rPr>
                <w:rFonts w:hint="default" w:ascii="微软雅黑" w:hAnsi="微软雅黑" w:eastAsia="微软雅黑" w:cs="微软雅黑"/>
                <w:i w:val="0"/>
                <w:iCs w:val="0"/>
                <w:color w:val="0000ff"/>
                <w:sz w:val="16"/>
                <w:szCs w:val="16"/>
                <w:highlight w:val="none"/>
                <w:u w:val="none"/>
                <w:lang w:val="en-US" w:eastAsia="zh-CN" w:bidi="ar"/>
              </w:rPr>
              <w:t xml:space="preserve">AI智能图像优化</w:t>
            </w:r>
            <w:r>
              <w:rPr>
                <w:rFonts w:hint="eastAsia" w:ascii="微软雅黑" w:hAnsi="微软雅黑" w:eastAsia="微软雅黑" w:cs="微软雅黑"/>
                <w:i w:val="0"/>
                <w:iCs w:val="0"/>
                <w:color w:val="0000ff"/>
                <w:sz w:val="16"/>
                <w:szCs w:val="16"/>
                <w:highlight w:val="none"/>
                <w:u w:val="none"/>
                <w:lang w:val="en-US" w:eastAsia="zh-CN" w:bidi="ar"/>
              </w:rPr>
              <w:t xml:space="preserve">功能：支持在低照度环境下自动调节预览场景视频画面。如：人脸、人体、车辆等目标及预览场景视频画面的区域曝光、亮度、色彩饱和度、对比度、锐度等。（需提供第三方检测机构出具的产品检测报告并加盖投标人公章）</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非防爆，不带火点监测仅用于高空全景。马甸高空全景。安装在奥喜埃河北边塔上，生态走廊高空监控、人才公寓、酒店大楼。</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W w:w="1205" w:type="dxa"/>
            <w:vAlign w:val="center"/>
            <w:textDirection w:val="lrTb"/>
            <w:noWrap w:val="false"/>
          </w:tcPr>
          <w:p>
            <w:pPr>
              <w:jc w:val="center"/>
              <w:keepLines w:val="0"/>
              <w:keepNext w:val="0"/>
              <w:widowControl/>
              <w:rPr>
                <w:rFonts w:ascii="Segoe UI" w:hAnsi="Segoe UI" w:eastAsia="Segoe UI" w:cs="Segoe UI"/>
                <w:i w:val="0"/>
                <w:iCs w:val="0"/>
                <w:caps w:val="0"/>
                <w:color w:val="0f1115"/>
                <w:spacing w:val="0"/>
                <w:sz w:val="16"/>
                <w:szCs w:val="16"/>
                <w:highlight w:val="none"/>
                <w:shd w:val="clear" w:color="auto" w:fill="ffffff"/>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400W像素4G半球</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400万像素4G全网通红外半球网络摄像机</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传感器类型：1/2.7英寸逐行扫描CMOS</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有效像素不低于400万像素</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最低照度彩色：≤0.005Lux</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宽动态模式：数字宽动态镜头焦距：2.8mm、4mm、6mm（可选）</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补光类型：红外灯红外补光距离：≥30米</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图像参数最大图像尺寸：≥2560×1440</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视频压缩主码流：H.265/H.264</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网络与SIM卡SIM卡类型：内置流量卡（支持用户更换）SIM卡槽：NanoSIM卡扩展插槽×1</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4G频段：LTE-TDD：Band34/38/39/40/41LTE-FDD：Band1/3/5/8</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4G制式：LTE-TDD/LTE-FDD（全网通）以太网口：1个RJ45，10M/100M自适应</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本地存储：MicroSD/MicroSDHC/MicroSDXC卡槽（最大支持512GB）</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音频内置麦克风：≥1个</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防护等级IP67</w:t>
            </w:r>
            <w:r/>
          </w:p>
          <w:p>
            <w:pPr>
              <w:numPr>
                <w:ilvl w:val="0"/>
                <w:numId w:val="9"/>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其他赠送流量服务：≥3年流量（含内置流量卡）</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监控补盲</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W w:w="1205" w:type="dxa"/>
            <w:vAlign w:val="center"/>
            <w:textDirection w:val="lrTb"/>
            <w:noWrap w:val="false"/>
          </w:tcPr>
          <w:p>
            <w:pPr>
              <w:jc w:val="center"/>
              <w:keepLines w:val="0"/>
              <w:keepNext w:val="0"/>
              <w:widowControl/>
              <w:rPr>
                <w:rFonts w:ascii="Segoe UI" w:hAnsi="Segoe UI" w:eastAsia="Segoe UI" w:cs="Segoe UI"/>
                <w:i w:val="0"/>
                <w:iCs w:val="0"/>
                <w:caps w:val="0"/>
                <w:color w:val="0f1115"/>
                <w:spacing w:val="0"/>
                <w:sz w:val="16"/>
                <w:szCs w:val="16"/>
                <w:highlight w:val="none"/>
                <w:shd w:val="clear" w:color="auto" w:fill="ffffff"/>
              </w:rPr>
              <w:suppressLineNumbers w:val="0"/>
            </w:pPr>
            <w:r>
              <w:rPr>
                <w:rFonts w:hint="eastAsia" w:ascii="Segoe UI" w:hAnsi="Segoe UI" w:eastAsia="Segoe UI" w:cs="Segoe UI"/>
                <w:i w:val="0"/>
                <w:iCs w:val="0"/>
                <w:caps w:val="0"/>
                <w:color w:val="0f1115"/>
                <w:spacing w:val="0"/>
                <w:sz w:val="16"/>
                <w:szCs w:val="16"/>
                <w:highlight w:val="none"/>
                <w:shd w:val="clear" w:color="auto" w:fill="ffffff"/>
              </w:rPr>
              <w:t xml:space="preserve">MicroSD存储卡（TF卡）通用规格</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MicroSD存储卡（TF卡）通用规格</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闪存介质</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类型：TLC（三层单元）晶元</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耐久性擦写次数：≥500次（P/E周期）</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容量标称容量：≥256GB</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性能等级速度等级：≥Class 10</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UHS速度等级：UHS-I（U1或U3均可，依写速对应）</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读写速度最大读取速度：≥95 MB/s最大写入速度：≥55 MB/s</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文件系统默认格式：FAT32（适用于大多数摄像机/设备）</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工作环境工作温度：0℃ ～ +70℃</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存储温度：-25℃ ～ +85℃</w:t>
            </w:r>
            <w:r/>
          </w:p>
          <w:p>
            <w:pPr>
              <w:numPr>
                <w:ilvl w:val="0"/>
                <w:numId w:val="1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物理尺寸外形尺寸：0.59英寸 × 0.43英寸 × 0.04英寸（约15mm × 11mm × 1.0mm，标准MicroSD规格）</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张</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监控补盲</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W w:w="1205" w:type="dxa"/>
            <w:vAlign w:val="center"/>
            <w:textDirection w:val="lrTb"/>
            <w:noWrap w:val="false"/>
          </w:tcPr>
          <w:p>
            <w:pPr>
              <w:jc w:val="center"/>
              <w:keepLines w:val="0"/>
              <w:keepNext w:val="0"/>
              <w:widowControl/>
              <w:rPr>
                <w:rFonts w:ascii="Segoe UI" w:hAnsi="Segoe UI" w:eastAsia="Segoe UI" w:cs="Segoe UI"/>
                <w:i w:val="0"/>
                <w:iCs w:val="0"/>
                <w:caps w:val="0"/>
                <w:color w:val="0f1115"/>
                <w:spacing w:val="0"/>
                <w:sz w:val="16"/>
                <w:szCs w:val="16"/>
                <w:highlight w:val="none"/>
                <w:shd w:val="clear" w:color="auto" w:fill="ffffff"/>
              </w:rPr>
              <w:suppressLineNumbers w:val="0"/>
            </w:pPr>
            <w:r>
              <w:rPr>
                <w:rFonts w:hint="eastAsia" w:ascii="Segoe UI" w:hAnsi="Segoe UI" w:eastAsia="Segoe UI" w:cs="Segoe UI"/>
                <w:i w:val="0"/>
                <w:iCs w:val="0"/>
                <w:caps w:val="0"/>
                <w:color w:val="0f1115"/>
                <w:spacing w:val="0"/>
                <w:sz w:val="16"/>
                <w:szCs w:val="16"/>
                <w:highlight w:val="none"/>
                <w:shd w:val="clear" w:color="auto" w:fill="ffffff"/>
              </w:rPr>
              <w:t xml:space="preserve">1.5U机架式5盘位嵌入式网络硬盘录像机</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1.5U机架式5盘位嵌入式网络硬盘录像机</w:t>
            </w:r>
            <w:r/>
          </w:p>
          <w:p>
            <w:pPr>
              <w:numPr>
                <w:ilvl w:val="0"/>
                <w:numId w:val="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1、</w:t>
            </w:r>
            <w:r>
              <w:rPr>
                <w:rFonts w:hint="eastAsia" w:ascii="微软雅黑" w:hAnsi="微软雅黑" w:eastAsia="微软雅黑" w:cs="微软雅黑"/>
                <w:i w:val="0"/>
                <w:iCs w:val="0"/>
                <w:color w:val="000000"/>
                <w:sz w:val="16"/>
                <w:szCs w:val="16"/>
                <w:highlight w:val="none"/>
                <w:u w:val="none"/>
                <w:lang w:val="en-US" w:eastAsia="zh-CN" w:bidi="ar"/>
              </w:rPr>
              <w:t xml:space="preserve">整机设计机箱规格：1.5U标准机架式</w:t>
            </w:r>
            <w:r/>
          </w:p>
          <w:p>
            <w:pPr>
              <w:numPr>
                <w:ilvl w:val="0"/>
                <w:numId w:val="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2、</w:t>
            </w:r>
            <w:r>
              <w:rPr>
                <w:rFonts w:hint="eastAsia" w:ascii="微软雅黑" w:hAnsi="微软雅黑" w:eastAsia="微软雅黑" w:cs="微软雅黑"/>
                <w:i w:val="0"/>
                <w:iCs w:val="0"/>
                <w:color w:val="000000"/>
                <w:sz w:val="16"/>
                <w:szCs w:val="16"/>
                <w:highlight w:val="none"/>
                <w:u w:val="none"/>
                <w:lang w:val="en-US" w:eastAsia="zh-CN" w:bidi="ar"/>
              </w:rPr>
              <w:t xml:space="preserve">机箱类型：短机箱设计</w:t>
            </w:r>
            <w:r/>
          </w:p>
          <w:p>
            <w:pPr>
              <w:numPr>
                <w:ilvl w:val="0"/>
                <w:numId w:val="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3、</w:t>
            </w:r>
            <w:r>
              <w:rPr>
                <w:rFonts w:hint="eastAsia" w:ascii="微软雅黑" w:hAnsi="微软雅黑" w:eastAsia="微软雅黑" w:cs="微软雅黑"/>
                <w:i w:val="0"/>
                <w:iCs w:val="0"/>
                <w:color w:val="000000"/>
                <w:sz w:val="16"/>
                <w:szCs w:val="16"/>
                <w:highlight w:val="none"/>
                <w:u w:val="none"/>
                <w:lang w:val="en-US" w:eastAsia="zh-CN" w:bidi="ar"/>
              </w:rPr>
              <w:t xml:space="preserve">电源类型：高性能ATX电源</w:t>
            </w:r>
            <w:r/>
          </w:p>
          <w:p>
            <w:pPr>
              <w:numPr>
                <w:ilvl w:val="0"/>
                <w:numId w:val="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4、</w:t>
            </w:r>
            <w:r>
              <w:rPr>
                <w:rFonts w:hint="eastAsia" w:ascii="微软雅黑" w:hAnsi="微软雅黑" w:eastAsia="微软雅黑" w:cs="微软雅黑"/>
                <w:i w:val="0"/>
                <w:iCs w:val="0"/>
                <w:color w:val="000000"/>
                <w:sz w:val="16"/>
                <w:szCs w:val="16"/>
                <w:highlight w:val="none"/>
                <w:u w:val="none"/>
                <w:lang w:val="en-US" w:eastAsia="zh-CN" w:bidi="ar"/>
              </w:rPr>
              <w:t xml:space="preserve">硬件接口规格存储接口数量：≥5个SATA接口</w:t>
            </w:r>
            <w:r/>
          </w:p>
          <w:p>
            <w:pPr>
              <w:numPr>
                <w:ilvl w:val="0"/>
                <w:numId w:val="0"/>
              </w:numPr>
              <w:ind w:left="0" w:firstLine="0"/>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5、</w:t>
            </w:r>
            <w:r>
              <w:rPr>
                <w:rFonts w:hint="eastAsia" w:ascii="微软雅黑" w:hAnsi="微软雅黑" w:eastAsia="微软雅黑" w:cs="微软雅黑"/>
                <w:i w:val="0"/>
                <w:iCs w:val="0"/>
                <w:color w:val="000000"/>
                <w:sz w:val="16"/>
                <w:szCs w:val="16"/>
                <w:highlight w:val="none"/>
                <w:u w:val="none"/>
                <w:lang w:val="en-US" w:eastAsia="zh-CN" w:bidi="ar"/>
              </w:rPr>
              <w:t xml:space="preserve">单盘最大支持容量：≥12TB</w:t>
            </w:r>
            <w:r/>
          </w:p>
          <w:p>
            <w:pPr>
              <w:numPr>
                <w:ilvl w:val="0"/>
                <w:numId w:val="0"/>
              </w:numPr>
              <w:ind w:left="0" w:firstLine="0"/>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6、</w:t>
            </w:r>
            <w:r>
              <w:rPr>
                <w:rFonts w:hint="eastAsia" w:ascii="微软雅黑" w:hAnsi="微软雅黑" w:eastAsia="微软雅黑" w:cs="微软雅黑"/>
                <w:i w:val="0"/>
                <w:iCs w:val="0"/>
                <w:color w:val="000000"/>
                <w:sz w:val="16"/>
                <w:szCs w:val="16"/>
                <w:highlight w:val="none"/>
                <w:u w:val="none"/>
                <w:lang w:val="en-US" w:eastAsia="zh-CN" w:bidi="ar"/>
              </w:rPr>
              <w:t xml:space="preserve">视频输出HDMI接口：≥2个VGA接口：≥1个</w:t>
            </w:r>
            <w:r/>
          </w:p>
          <w:p>
            <w:pPr>
              <w:numPr>
                <w:ilvl w:val="0"/>
                <w:numId w:val="0"/>
              </w:numPr>
              <w:ind w:left="0" w:firstLine="0"/>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7、</w:t>
            </w:r>
            <w:r>
              <w:rPr>
                <w:rFonts w:hint="eastAsia" w:ascii="微软雅黑" w:hAnsi="微软雅黑" w:eastAsia="微软雅黑" w:cs="微软雅黑"/>
                <w:i w:val="0"/>
                <w:iCs w:val="0"/>
                <w:color w:val="000000"/>
                <w:sz w:val="16"/>
                <w:szCs w:val="16"/>
                <w:highlight w:val="none"/>
                <w:u w:val="none"/>
                <w:lang w:val="en-US" w:eastAsia="zh-CN" w:bidi="ar"/>
              </w:rPr>
              <w:t xml:space="preserve">网络接口类型：RJ45数量：≥2个速率：10/100/1000Mbps 自适应</w:t>
            </w:r>
            <w:r/>
          </w:p>
          <w:p>
            <w:pPr>
              <w:numPr>
                <w:ilvl w:val="0"/>
                <w:numId w:val="0"/>
              </w:numPr>
              <w:ind w:left="0" w:firstLine="0"/>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8、</w:t>
            </w:r>
            <w:r>
              <w:rPr>
                <w:rFonts w:hint="eastAsia" w:ascii="微软雅黑" w:hAnsi="微软雅黑" w:eastAsia="微软雅黑" w:cs="微软雅黑"/>
                <w:i w:val="0"/>
                <w:iCs w:val="0"/>
                <w:color w:val="000000"/>
                <w:sz w:val="16"/>
                <w:szCs w:val="16"/>
                <w:highlight w:val="none"/>
                <w:u w:val="none"/>
                <w:lang w:val="en-US" w:eastAsia="zh-CN" w:bidi="ar"/>
              </w:rPr>
              <w:t xml:space="preserve">报警接口报警输入：≥16路报警输出：≥9路（其中第9路支持CTRL 12V可控电源输出）</w:t>
            </w:r>
            <w:r/>
          </w:p>
          <w:p>
            <w:pPr>
              <w:numPr>
                <w:ilvl w:val="0"/>
                <w:numId w:val="0"/>
              </w:numPr>
              <w:ind w:left="0" w:firstLine="0"/>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9、</w:t>
            </w:r>
            <w:r>
              <w:rPr>
                <w:rFonts w:hint="eastAsia" w:ascii="微软雅黑" w:hAnsi="微软雅黑" w:eastAsia="微软雅黑" w:cs="微软雅黑"/>
                <w:i w:val="0"/>
                <w:iCs w:val="0"/>
                <w:color w:val="000000"/>
                <w:sz w:val="16"/>
                <w:szCs w:val="16"/>
                <w:highlight w:val="none"/>
                <w:u w:val="none"/>
                <w:lang w:val="en-US" w:eastAsia="zh-CN" w:bidi="ar"/>
              </w:rPr>
              <w:t xml:space="preserve">反向供电输出接口：≥1路DC12V输出电流：≥1A</w:t>
            </w:r>
            <w:r/>
          </w:p>
          <w:p>
            <w:pPr>
              <w:numPr>
                <w:ilvl w:val="0"/>
                <w:numId w:val="0"/>
              </w:numPr>
              <w:ind w:left="0" w:firstLine="0"/>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10、</w:t>
            </w:r>
            <w:r>
              <w:rPr>
                <w:rFonts w:hint="eastAsia" w:ascii="微软雅黑" w:hAnsi="微软雅黑" w:eastAsia="微软雅黑" w:cs="微软雅黑"/>
                <w:i w:val="0"/>
                <w:iCs w:val="0"/>
                <w:color w:val="000000"/>
                <w:sz w:val="16"/>
                <w:szCs w:val="16"/>
                <w:highlight w:val="none"/>
                <w:u w:val="none"/>
                <w:lang w:val="en-US" w:eastAsia="zh-CN" w:bidi="ar"/>
              </w:rPr>
              <w:t xml:space="preserve">USB接口USB 2.0：≥2个USB 3.0：≥1个</w:t>
            </w:r>
            <w:r/>
          </w:p>
          <w:p>
            <w:pPr>
              <w:numPr>
                <w:ilvl w:val="0"/>
                <w:numId w:val="0"/>
              </w:numPr>
              <w:ind w:left="0" w:firstLine="0"/>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lang w:val="en-US" w:eastAsia="zh-CN" w:bidi="ar"/>
              </w:rPr>
              <w:t xml:space="preserve">11、</w:t>
            </w:r>
            <w:r>
              <w:rPr>
                <w:rFonts w:hint="eastAsia" w:ascii="微软雅黑" w:hAnsi="微软雅黑" w:eastAsia="微软雅黑" w:cs="微软雅黑"/>
                <w:i w:val="0"/>
                <w:iCs w:val="0"/>
                <w:color w:val="000000"/>
                <w:sz w:val="16"/>
                <w:szCs w:val="16"/>
                <w:highlight w:val="none"/>
                <w:u w:val="none"/>
                <w:lang w:val="en-US" w:eastAsia="zh-CN" w:bidi="ar"/>
              </w:rPr>
              <w:t xml:space="preserve">扩展接口eSATA接口：≥1个</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监控补盲</w:t>
            </w:r>
            <w:r/>
          </w:p>
        </w:tc>
      </w:tr>
      <w:tr>
        <w:trPr>
          <w:trHeight w:val="249"/>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w:t>
            </w:r>
            <w:r/>
          </w:p>
        </w:tc>
        <w:tc>
          <w:tcPr>
            <w:shd w:val="clear" w:color="auto" w:fill="auto"/>
            <w:tcW w:w="1205" w:type="dxa"/>
            <w:vAlign w:val="center"/>
            <w:textDirection w:val="lrTb"/>
            <w:noWrap w:val="false"/>
          </w:tcPr>
          <w:p>
            <w:pPr>
              <w:jc w:val="center"/>
              <w:keepLines w:val="0"/>
              <w:keepNext w:val="0"/>
              <w:widowControl/>
              <w:rPr>
                <w:rFonts w:hint="eastAsia" w:ascii="Segoe UI" w:hAnsi="Segoe UI" w:eastAsia="Segoe UI" w:cs="Segoe UI"/>
                <w:i w:val="0"/>
                <w:iCs w:val="0"/>
                <w:caps w:val="0"/>
                <w:color w:val="0f1115"/>
                <w:spacing w:val="0"/>
                <w:sz w:val="16"/>
                <w:szCs w:val="16"/>
                <w:highlight w:val="none"/>
                <w:shd w:val="clear" w:color="auto" w:fill="ffffff"/>
              </w:rPr>
              <w:suppressLineNumbers w:val="0"/>
            </w:pPr>
            <w:r>
              <w:rPr>
                <w:rFonts w:hint="eastAsia" w:ascii="Segoe UI" w:hAnsi="Segoe UI" w:eastAsia="Segoe UI" w:cs="Segoe UI"/>
                <w:i w:val="0"/>
                <w:iCs w:val="0"/>
                <w:caps w:val="0"/>
                <w:color w:val="0f1115"/>
                <w:spacing w:val="0"/>
                <w:sz w:val="16"/>
                <w:szCs w:val="16"/>
                <w:highlight w:val="none"/>
                <w:shd w:val="clear" w:color="auto" w:fill="ffffff"/>
              </w:rPr>
              <w:t xml:space="preserve">硬盘</w:t>
            </w:r>
            <w:r/>
          </w:p>
        </w:tc>
        <w:tc>
          <w:tcPr>
            <w:shd w:val="clear" w:color="auto" w:fill="auto"/>
            <w:tcW w:w="5072" w:type="dxa"/>
            <w:vAlign w:val="center"/>
            <w:textDirection w:val="lrTb"/>
            <w:noWrap w:val="false"/>
          </w:tcPr>
          <w:p>
            <w:pPr>
              <w:numPr>
                <w:ilvl w:val="0"/>
                <w:numId w:val="0"/>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8TB容量，3.5英寸，SATA 3.0接口，7200 RPM</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传输速率≥267 MB/s，支持视频流稳定写入，有效避免丢帧</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标称容量：≥8TB</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外形规格：3.5英寸</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接口类型：SATA</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转速：≥7200 RPM</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缓存：≥256 MB</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最大读取速度：≥267 MB/s</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接口传输速率（最大值）：≥6.0 Gb/s</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平均读写功率：≥7.3 W</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磁头加载/卸载次数：≥600,000次</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平均无故障时间（MTBF）：≥2,000,000小时</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年工作负荷：≥550 TB/年</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工作温度：0℃～65℃</w:t>
            </w:r>
            <w:r/>
          </w:p>
          <w:p>
            <w:pPr>
              <w:numPr>
                <w:ilvl w:val="0"/>
                <w:numId w:val="11"/>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尺寸：147 mm（长）× 101.6 mm（宽）× 26.1 mm（高）</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监控补盲</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5口千兆交换机</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1、供电方式：可插拔电源</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2、外壳材质：金属</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3、端口规格：≥5个千兆电口</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4、交换方式：存储转发</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5、交换容量：≥10 Gbps</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6、包转发率:≥7.44 Mpps</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7、MAC地址容量:≥2K</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9、缓存:≥3 Mbits</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长江生态走廊2个，枪机配套。</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人才公寓1个、酒店1个，高空瞭望配套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立杆</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6米监控立杆管径114mm，镀锌钢管材质，表层高温烤漆，壁厚2.5mm。</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套</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长江生态走廊，枪机配套。</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楼顶支架</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楼顶竖立至少4米高的楼顶摄像头支撑架及 相关辅材配重支架【功能特性】</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1、楼面安装，楼面活荷载需大于 2.0KN/m2,配重块强 度大于 C20,保护层厚度大于 20mm；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2、支架环境使用地面粗糙度为 B 类， 设计风压 0.45KN/m2；</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3、支架结构体系稳定，采用合理措施降低设备抖动， 同时具体有效的防雷接地系统；</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4、采用的钢管均为结构用优质碳素无缝钢管(20 号  钢),其他材料除注明采用外,均用Q235B钢.其机械性 能，需符合现行有关规范并具有出厂合格证；</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5、焊缝应采用 E4300-E4313 焊条,均为满焊.焊缝等 级为三级,未注明构件间连接均为焊接.焊缝高度除  注明外等于较小焊接构件的厚度；</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6、所有构件材料均需热浸镀锌,构件厚度不小于 5mm 时镀锌层厚度须不小于 86μ m, 构件厚度小于 5mm 时 镀锌层厚须不小于 65μ m.锌层表面应具有实用性光  滑.在连接处不允许有毛刺.满瘤和多余结块.并不得 有过酸洗和露铁等缺陷；</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7、螺栓除指定的外全部采用 C 级粗制螺栓.螺杆与螺 孔的配合使用基轴制,螺杆最小尺寸不小于公称尺寸,对于主材与之联接的螺孔,螺杆与螺孔之间最大 间隙为 1.2mm,对于斜材,辅助材与之联接的螺孔,螺 杆与螺孔之间最大间隙为 1.5mm；</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8、钢管穿入法兰盘厚度 2/3 处焊接,上下法兰盘垂直 于上下圆管.法兰盘平面偏离设计平面的正切值不大 于 1/1000,钢管法兰盘接触面不少于法兰盘表面的75% 。</w:t>
            </w:r>
            <w:r/>
          </w:p>
          <w:p>
            <w:pPr>
              <w:jc w:val="left"/>
              <w:keepLines w:val="0"/>
              <w:keepNext w:val="0"/>
              <w:widowControl/>
              <w:rPr>
                <w:rFonts w:hint="default"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9、楼顶竖杆需安装避雷针。</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套</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人才公寓等两个楼顶支架</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11</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弱电抱杆箱</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室外防水、高400mm，宽300mm，深200mm，内含防雷器一个，16A空开一个，五孔三位插排一个。</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套</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长江生态走廊2个，枪机配套。</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人才公寓1个、酒店1个，高空瞭望配套</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12</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立杆横臂</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枪机横臂1米管径60，2.0mm镀锌钢管材质，表层高温烤漆</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长江生态走廊，枪机配套。</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13</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电源线</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国标RVV3*1.0</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米</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2200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长江生态走廊，枪机配套；高空瞭望配套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硅芯管</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产品名称：HDPE硅芯管</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1、执行标准：GB/T 24456-2009</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材质：高密度聚乙烯（HDPE），内壁带永久固体硅芯润滑层</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规格型号：Φ40/33mm（外径/内径）</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壁厚：≥3.5mm</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环刚度：≥8kN/m²</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拉伸屈服强度：≥21MPa</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断裂伸长率：≥350%</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内壁摩擦系数：≤0.15</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使用温度：-30℃～+80℃</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落锤冲击性能：-20℃、2m高度冲击无破裂</w:t>
            </w:r>
            <w:r/>
          </w:p>
          <w:p>
            <w:pPr>
              <w:numPr>
                <w:ilvl w:val="0"/>
                <w:numId w:val="12"/>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扁平试验：外径压缩50%无破裂、无渗漏</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米</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500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长江生态走廊，枪机配套；高空瞭望配套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15</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网线</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室外六类网线</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1、护套材质：PE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成品外径：6.0±0.2mm</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导体：99.99%纯铜</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导体直径：0.57±0.02mm</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导体绝缘外径：1.02±0.05mm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芯数：4*2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特性阻抗:100±15Ω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导体间介电强度，DC，1min：1Kv/1min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工作电容最大值：≤5.6nF/100m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单根导体最大电阻：≤9.0Ω/100m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线对直流电阻不平衡性：≤2.5%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敷设弯曲半径：建议敷设弯曲半径&gt;8倍线缆外径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敷设拉力：建议敷设时短期拉力&lt;110N </w:t>
            </w:r>
            <w:r/>
          </w:p>
          <w:p>
            <w:pPr>
              <w:numPr>
                <w:ilvl w:val="0"/>
                <w:numId w:val="13"/>
              </w:num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使用拉力：建议使用时长期拉力&lt;20N </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米</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345</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长江生态走廊，枪机配套；高空瞭望配套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16</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光纤收发器</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1、接口配置：千兆电口 ≥1个；千兆光口 ≥1个</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2、支持即插即用功能，无需复杂配置</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3、具备线速转发能力，支持高速、无损数据信号传输</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4、最大传输距离 ≥3公里</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5、雷击设计 ≥4kV</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6、工作温度：-20℃ ～ +60℃，在此范围内稳定运行</w:t>
            </w:r>
            <w:r/>
          </w:p>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7、外壳材质：全金属外壳</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长江生态走廊，枪机配套。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17</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单路通用服务器</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技术规格：服务器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1、CPU：核数≥8核，频率≥3.0GHz</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2、内存：配置≥64G DDR4，4根内存插槽，最大支持扩展至128GB</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3、硬盘：配置≥1块960G SSD盘，最高支持4块3.5寸（兼容2.5寸）热插拔SATA/SAS硬盘</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4、PCIE扩展：支持≥2个PCIE插槽</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5、网口：板载至少2个千兆电口，支持选配10GbE、25GbE SFP+等多种网络接口</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6、其他接口：至少1个千兆RJ-45管理接口，4个USB 3.0接口，2个位于机箱后部，2个位于机箱前部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7、至少1个VGA口，位于机箱后部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8、电源：配置≥350W高效单电源</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9、设备重量：≤15KG（不含导轨）</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企业视频接入配套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18</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企业安全生产管理平台企业版</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企业安全生产管理平台企业版（企业服务器软件费）</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含基础包、视频监控点位100路、视频联网模块</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套</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企业服务器软件授权费</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19</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企业用千兆交换机</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轻网管千兆交换机（8千兆电+2千兆光）</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1、端口：不低于8个千兆电口 + 2个千兆光口</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2、浪涌防护：不低于6 kV</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3、安装方式：桌面式可壁挂</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4、供电方式：支持DC12V，1A</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5、整机功耗：≤12W</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6、风扇：无风扇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7、VLAN：支持VLAN</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8、交换容量：≥20 Gbps</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9、MAC地址容量：≥8 K</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10、缓存：≥4.1 Mbits</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11、包转发率：≥14.88 Mpps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12、DHCP Snooping：支持DHCP Snooping</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13、Web管理：支持web管理 </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14、SADP：支持SADP</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15、设备维护：支持远程升级、默认参数恢复、日志查看、基本网络参数配置</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企业视频接入配套</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20</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中心平台流媒体服务器</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技术规格：服务器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1、CPU：核数≥8核，频率≥3.0GHz</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2、内存：配置≥32G DDR4，4根内存插槽，最大支持扩展至128GB</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3、硬盘：配置≥1块960G SSD盘，最高支持4块3.5寸（兼容2.5寸）热插拔SATA/SAS硬盘</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4、PCIE扩展：支持至少2个PCIE插槽</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5、网口：板载至少2个千兆电口，支持选配10GbE、25GbE SFP+等多种网络接口</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6、其他接口：至少1个千兆RJ-45管理接口，4个USB 3.0接口，2个位于机箱后部，2个位于机箱前部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7、至少1个VGA口，位于机箱后部</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8、电源：配置≥350W高效单电源</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9、设备重量：≤15KG（不含导轨）</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企业视频接入配套</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21</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中心存储用千兆交换机</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三层千兆交换机（不少于48千兆电+4万兆光）</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1、端口配置：≥48个10/100/1000Base-T自适应以太网端口，≥4个万兆SFP+口</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2、扩展性：支持端口扩展板卡，包括：8端口万兆光扩展板卡、2端口40G扩展板卡；实现高密口扩展，满足大型网络汇聚或中小网络核心部署需求，支持光电混合组网配置</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3、IPv4/IPv6：实现基于硬件的IPv4/IPv6双栈平台，支持丰富的IPv4和IPv6三层路由协议、组播技术及策略路由机制</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4、虚拟化：支持虚拟化技术，可将多台物理设备互相连接并虚拟为一台逻辑设备，用户可将其作为单一设备进行管理和使用</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5、认证与绑定：支持集中式MAC地址认证、802.1x认证、PORTAL认证；支持用户帐号、IP、MAC、VLAN、端口等用户标识元素的动态或静态绑定；支持用户策略（VLAN、QoS、ACL）动态下发</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6、ACL能力：提供增强的ACL控制逻辑，支持超大容量的入端口和出端口ACL，支持基于VLAN的ACL下发，简化配置并避免ACL资源浪费</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7、可靠性：具备设备级和链路级的多重可靠性保护</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8、电源与风扇：支持可插拔交/直双电源模块（可根据环境灵活配置交流或直流电源模块）；支持可插拔双风扇可靠性设计；支持电源和风扇故障检测及告警；支持根据温度变化自动调节风扇转速</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9、包过滤：支持L2~L4包过滤功能，提供基于源MAC地址、目的MAC地址、源IP地址、目的IP地址、TCP/UDP端口号、协议类型、VLAN的流分类</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10、队列调度：提供灵活的队列调度算法，可同时基于端口和队列进行设置，支持SP、WRR、SP+WRR三种模式</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11、流量控制：支持IEEE 802.3x流控（全双工）</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1、链路聚合：支持GE/10GE端口聚合，支持静态/动态聚合，支持跨设备聚合</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13、端口镜像：支持本地和远程端口镜像，支持N:4端口镜像</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14、时钟与日志：支持NTP时钟，支持系统工作日志</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15、交换容量：≥756Gbps/7.56Tbps</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16、包转发率：≥252Mpps/432Mpps</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17、VLAN容量≥4K</w:t>
            </w:r>
            <w:r/>
          </w:p>
          <w:p>
            <w:pPr>
              <w:jc w:val="left"/>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18、安装方式：机架式（1U高，19英寸宽）</w:t>
            </w:r>
            <w:r/>
          </w:p>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19、整机功耗：满负荷：单交流≤88W，单直流≤89W，双交流≤93W，双直流≤96W</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企业视频接入配套</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22</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48盘位云存储</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6U机架式48盘位网络存储设备，搭载64位多核处理器，1+1冗余电源、冗余风扇，实现7×24小时稳定运行，支持最大接入450路点位，2M码流存储20天，含配套存储管理软件</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【硬件规格】</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1、处理器：至少1颗64位多核</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2、系统盘：≥1×240GB SSD</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3、系统内存：≥16GB（可扩展至128GB）</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4、磁盘接口：≥48个SATA接口，支持硬盘热插拔，机械硬盘（单个12T）</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5、网络接口：≥7个2.5G数据网口，1个2.5G管理网口/数据网口</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其他接口：≥1×COM，2×USB2.0（前置），2×USB3.0（后置），1×VGA（前置），1×HDMI（后置）</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6、整机电源：≥1200W，1+1冗余电源</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7、设备灯光：支持定位灯、电源灯、设备报警灯、就绪灯、网络状态灯、系统盘状态灯、硬盘状态灯</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8、机箱：支持防尘滤网</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附件功能1-</w:t>
            </w:r>
            <w:r>
              <w:rPr>
                <w:rFonts w:hint="default" w:ascii="微软雅黑" w:hAnsi="微软雅黑" w:eastAsia="微软雅黑" w:cs="微软雅黑"/>
                <w:i w:val="0"/>
                <w:iCs w:val="0"/>
                <w:color w:val="0000ff"/>
                <w:sz w:val="16"/>
                <w:szCs w:val="16"/>
                <w:highlight w:val="none"/>
                <w:u w:val="none"/>
                <w:lang w:val="en-US" w:eastAsia="zh-CN" w:bidi="ar"/>
              </w:rPr>
              <w:t xml:space="preserve">多形态部署架构</w:t>
            </w:r>
            <w:r>
              <w:rPr>
                <w:rFonts w:hint="eastAsia" w:ascii="微软雅黑" w:hAnsi="微软雅黑" w:eastAsia="微软雅黑" w:cs="微软雅黑"/>
                <w:i w:val="0"/>
                <w:iCs w:val="0"/>
                <w:color w:val="0000ff"/>
                <w:sz w:val="16"/>
                <w:szCs w:val="16"/>
                <w:highlight w:val="none"/>
                <w:u w:val="none"/>
                <w:lang w:val="en-US" w:eastAsia="zh-CN" w:bidi="ar"/>
              </w:rPr>
              <w:t xml:space="preserve">能力：系统支持单机（1台）、HA（2台）、集群（3台及以上）部署模式。支持在线扩容、升级。且扩容、升级过程中实时读写业务不中断，扩容后历史数据无需迁移。支持集中查看存储的容量信息，包括集群的容量信息和资源池的容量信息；支持查看集群中设备的在线和离线状态；支持查看存储卷的状态；对实时流和历史流业务进行集中监控。（需提供第三方检测机构出具的产品检测报告并加盖投标人公章）</w:t>
            </w:r>
            <w:r>
              <w:rPr>
                <w:rFonts w:hint="eastAsia" w:ascii="微软雅黑" w:hAnsi="微软雅黑" w:eastAsia="微软雅黑" w:cs="微软雅黑"/>
                <w:i w:val="0"/>
                <w:iCs w:val="0"/>
                <w:color w:val="0000ff"/>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件功能2-双系统冗余保护能力：每个控制单元支持双系统应用，外置系统盘支持RAID1模式，当主系统出现故障时，备用系统可接管工作；支持系统盘为独立的2块HDD（SATA、SAS）或SSD盘，组成RAID1。（需提供第三方检测机构出具的产品检测报告并加盖投标人公章）</w:t>
            </w:r>
            <w:r>
              <w:rPr>
                <w:rFonts w:hint="eastAsia" w:ascii="微软雅黑" w:hAnsi="微软雅黑" w:eastAsia="微软雅黑" w:cs="微软雅黑"/>
                <w:i w:val="0"/>
                <w:iCs w:val="0"/>
                <w:color w:val="0000ff"/>
                <w:sz w:val="16"/>
                <w:szCs w:val="16"/>
                <w:highlight w:val="none"/>
                <w:u w:val="none"/>
                <w:lang w:val="en-US" w:eastAsia="zh-CN" w:bidi="ar"/>
              </w:rPr>
              <w:br/>
            </w:r>
            <w:r>
              <w:rPr>
                <w:rFonts w:hint="eastAsia" w:ascii="微软雅黑" w:hAnsi="微软雅黑" w:eastAsia="微软雅黑" w:cs="微软雅黑"/>
                <w:i w:val="0"/>
                <w:iCs w:val="0"/>
                <w:color w:val="0000ff"/>
                <w:sz w:val="16"/>
                <w:szCs w:val="16"/>
                <w:highlight w:val="none"/>
                <w:u w:val="none"/>
                <w:lang w:val="en-US" w:eastAsia="zh-CN" w:bidi="ar"/>
              </w:rPr>
              <w:t xml:space="preserve">附件功能3-存储弹性伸缩能力：支持存储容量按需分配，分配的存储空间支持在线扩大和缩小；系统支持资源池空间弹性伸缩时，不影响读写业务；存储容量可以平滑扩容；且动态扩容和缩容时业务不中断。（需提供第三方检测机构出具的产品检测报告并加盖投标人公章）</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套</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企业视频接入配套</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23</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企业安全生产管理平台插件</w:t>
            </w:r>
            <w:r/>
          </w:p>
        </w:tc>
        <w:tc>
          <w:tcPr>
            <w:shd w:val="clear" w:color="auto" w:fill="auto"/>
            <w:tcW w:w="5072" w:type="dxa"/>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设备网络管理：</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1、支持监控点的在离线状态、时钟状态、录像完整性、录像保存天数检测。</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2、支持监控点离线故障诊断，可展示故障诊断链路详情，输出诊断报告。</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3、支持编码设备的在离线状态、硬盘状态检测。</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4、支持解码设备的在线状态、工作状态、温度检测。</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性能：</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1、单节点在线状态巡检效率不低于1000路/小时；</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2、单节点录像情况巡检效率不低于1000路/小时；</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3、最大支持3000路监控点接入。</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新增视频监测平台</w:t>
            </w:r>
            <w:r>
              <w:rPr>
                <w:rFonts w:hint="eastAsia" w:ascii="微软雅黑" w:hAnsi="微软雅黑" w:eastAsia="微软雅黑" w:cs="微软雅黑"/>
                <w:i w:val="0"/>
                <w:iCs w:val="0"/>
                <w:color w:val="auto"/>
                <w:sz w:val="16"/>
                <w:szCs w:val="16"/>
                <w:highlight w:val="none"/>
                <w:u w:val="none"/>
                <w:lang w:val="en-US" w:eastAsia="zh-CN" w:bidi="ar"/>
              </w:rPr>
              <w:t xml:space="preserve">插件</w:t>
            </w:r>
            <w:r>
              <w:rPr>
                <w:rFonts w:hint="eastAsia" w:ascii="微软雅黑" w:hAnsi="微软雅黑" w:eastAsia="微软雅黑" w:cs="微软雅黑"/>
                <w:i w:val="0"/>
                <w:iCs w:val="0"/>
                <w:color w:val="000000"/>
                <w:sz w:val="16"/>
                <w:szCs w:val="16"/>
                <w:highlight w:val="none"/>
                <w:u w:val="none"/>
                <w:lang w:val="en-US" w:eastAsia="zh-CN" w:bidi="ar"/>
              </w:rPr>
              <w:t xml:space="preserve">，用于监测企业端视频状态。</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24</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服务器机柜</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ff0000"/>
                <w:sz w:val="16"/>
                <w:szCs w:val="16"/>
                <w:highlight w:val="none"/>
                <w:u w:val="none"/>
              </w:rPr>
              <w:suppressLineNumbers w:val="0"/>
            </w:pPr>
            <w:r>
              <w:rPr>
                <w:rFonts w:hint="eastAsia" w:ascii="微软雅黑" w:hAnsi="微软雅黑" w:eastAsia="微软雅黑" w:cs="微软雅黑"/>
                <w:i w:val="0"/>
                <w:iCs w:val="0"/>
                <w:color w:val="auto"/>
                <w:sz w:val="16"/>
                <w:szCs w:val="16"/>
                <w:highlight w:val="none"/>
                <w:u w:val="none"/>
                <w:lang w:val="en-US" w:eastAsia="zh-CN" w:bidi="ar"/>
              </w:rPr>
              <w:t xml:space="preserve">定制 宽600mm，深800mm</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企业视频接入配套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25</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执法记录仪保护盒（含设备盒标签）</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定制210mm*267mm*88mm</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台</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执法记录仪配套</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26</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数据专线</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100M带宽链路（包含每条专线三年安装及维护）</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条</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17</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10家企业、生态廊道2、高空瞭望5</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27</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企业侧及监控点位安装调试</w:t>
            </w:r>
            <w:r/>
          </w:p>
        </w:tc>
        <w:tc>
          <w:tcPr>
            <w:shd w:val="clear" w:color="auto" w:fill="auto"/>
            <w:tcW w:w="5072"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设备安装、视频画面调试，配合开展图像分析等及防水接地辅材，生态廊道地笼含≥C25混凝土基础及配套地笼（长×宽×深 ≥ 800mm×800mm×1200mm</w:t>
            </w:r>
            <w:r>
              <w:rPr>
                <w:rFonts w:hint="default" w:ascii="微软雅黑" w:hAnsi="微软雅黑" w:eastAsia="微软雅黑" w:cs="微软雅黑"/>
                <w:i w:val="0"/>
                <w:iCs w:val="0"/>
                <w:color w:val="000000"/>
                <w:sz w:val="16"/>
                <w:szCs w:val="16"/>
                <w:highlight w:val="none"/>
                <w:u w:val="none"/>
                <w:lang w:val="en-US" w:eastAsia="zh-CN" w:bidi="ar"/>
              </w:rPr>
              <w:t xml:space="preserve"> </w:t>
            </w:r>
            <w:r>
              <w:rPr>
                <w:rFonts w:hint="eastAsia" w:ascii="微软雅黑" w:hAnsi="微软雅黑" w:eastAsia="微软雅黑" w:cs="微软雅黑"/>
                <w:i w:val="0"/>
                <w:iCs w:val="0"/>
                <w:color w:val="000000"/>
                <w:sz w:val="16"/>
                <w:szCs w:val="16"/>
                <w:highlight w:val="none"/>
                <w:u w:val="none"/>
                <w:lang w:val="en-US" w:eastAsia="zh-CN" w:bidi="ar"/>
              </w:rPr>
              <w:t xml:space="preserve">），接地电阻≤4Ω。</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10家企业及生态廊道4个监控安装及立杆浇筑费用</w:t>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28</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高空点位安装调试</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包括人员登高、设备安装、调试等费用</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W w:w="1098" w:type="dxa"/>
            <w:vAlign w:val="center"/>
            <w:textDirection w:val="lrTb"/>
            <w:noWrap w:val="false"/>
          </w:tcPr>
          <w:p>
            <w:pPr>
              <w:jc w:val="center"/>
              <w:rPr>
                <w:rFonts w:hint="eastAsia" w:ascii="仿宋" w:hAnsi="仿宋" w:eastAsia="仿宋" w:cs="仿宋"/>
                <w:i w:val="0"/>
                <w:iCs w:val="0"/>
                <w:color w:val="000000"/>
                <w:sz w:val="16"/>
                <w:szCs w:val="16"/>
                <w:highlight w:val="none"/>
                <w:u w:val="none"/>
              </w:rPr>
            </w:pPr>
            <w:r>
              <w:rPr>
                <w:rFonts w:hint="eastAsia" w:ascii="仿宋" w:hAnsi="仿宋" w:eastAsia="仿宋" w:cs="仿宋"/>
                <w:i w:val="0"/>
                <w:iCs w:val="0"/>
                <w:color w:val="000000"/>
                <w:sz w:val="16"/>
                <w:szCs w:val="16"/>
                <w:highlight w:val="none"/>
                <w:u w:val="none"/>
              </w:rPr>
            </w:r>
            <w:r/>
          </w:p>
        </w:tc>
      </w:tr>
      <w:tr>
        <w:trPr>
          <w:trHeight w:val="0"/>
        </w:trPr>
        <w:tc>
          <w:tcPr>
            <w:shd w:val="clear" w:color="auto" w:fill="auto"/>
            <w:tcW w:w="4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29</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企业侧及监控点位维护</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包含 3 年的企业侧设备维护、摄像头维护费用</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w:t>
            </w:r>
            <w:r/>
          </w:p>
        </w:tc>
        <w:tc>
          <w:tcPr>
            <w:shd w:val="clear" w:color="auto" w:fill="auto"/>
            <w:tcW w:w="1098" w:type="dxa"/>
            <w:vAlign w:val="center"/>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30</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高空点位维护</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包含 3 年的高空设备维护、擦拭、人员登高等费用</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W w:w="1098" w:type="dxa"/>
            <w:vAlign w:val="center"/>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31</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塔位租赁费</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包含3年高空瞭望塔位租赁费用（3个）</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W w:w="1098" w:type="dxa"/>
            <w:vAlign w:val="center"/>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32</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企业视频平台接入费</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新增视频接入平台接入费</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1000</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新增1000路视频授权</w:t>
            </w:r>
            <w:r/>
          </w:p>
        </w:tc>
      </w:tr>
      <w:tr>
        <w:trPr>
          <w:trHeight w:val="0"/>
        </w:trPr>
        <w:tc>
          <w:tcPr>
            <w:shd w:val="clear" w:color="auto" w:fill="auto"/>
            <w:tcW w:w="436" w:type="dxa"/>
            <w:vAlign w:val="center"/>
            <w:textDirection w:val="lrTb"/>
            <w:noWrap w:val="false"/>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33</w:t>
            </w:r>
            <w:r/>
          </w:p>
        </w:tc>
        <w:tc>
          <w:tcPr>
            <w:shd w:val="clear" w:color="auto" w:fill="auto"/>
            <w:tcW w:w="120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高空瞭望平台接入费</w:t>
            </w:r>
            <w:r/>
          </w:p>
        </w:tc>
        <w:tc>
          <w:tcPr>
            <w:shd w:val="clear" w:color="auto" w:fill="auto"/>
            <w:tcW w:w="5072"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新增高空瞭望平台接入费</w:t>
            </w:r>
            <w:r/>
          </w:p>
        </w:tc>
        <w:tc>
          <w:tcPr>
            <w:shd w:val="clear" w:color="auto" w:fill="auto"/>
            <w:tcW w:w="48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w:t>
            </w:r>
            <w:r/>
          </w:p>
        </w:tc>
        <w:tc>
          <w:tcPr>
            <w:shd w:val="clear" w:color="auto" w:fill="auto"/>
            <w:tcW w:w="45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W w:w="109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AR软件新增5路授权</w:t>
            </w:r>
            <w:r/>
          </w:p>
        </w:tc>
      </w:tr>
    </w:tbl>
    <w:p>
      <w:pPr>
        <w:pStyle w:val="1075"/>
        <w:numPr>
          <w:ilvl w:val="0"/>
          <w:numId w:val="0"/>
        </w:numPr>
        <w:ind w:right="238"/>
        <w:jc w:val="both"/>
        <w:keepLines/>
        <w:keepNext/>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本项目核心产品：单路通用服务器</w:t>
      </w:r>
      <w:r/>
    </w:p>
    <w:p>
      <w:pPr>
        <w:pStyle w:val="1075"/>
        <w:numPr>
          <w:ilvl w:val="0"/>
          <w:numId w:val="0"/>
        </w:numPr>
        <w:ind w:right="238"/>
        <w:jc w:val="both"/>
        <w:keepLines/>
        <w:keepNext/>
        <w:pageBreakBefore w:val="0"/>
        <w:spacing w:line="360" w:lineRule="auto"/>
        <w:widowControl w:val="off"/>
        <w:rPr>
          <w:rFonts w:hint="eastAsia" w:ascii="宋体" w:hAnsi="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bidi="en-US"/>
        </w:rPr>
        <w:t xml:space="preserve">四、</w:t>
      </w:r>
      <w:r>
        <w:rPr>
          <w:rFonts w:hint="eastAsia" w:ascii="宋体" w:hAnsi="宋体" w:cs="宋体"/>
          <w:b/>
          <w:bCs/>
          <w:color w:val="000000"/>
          <w:sz w:val="24"/>
          <w:szCs w:val="24"/>
          <w:highlight w:val="none"/>
          <w:lang w:val="en-US" w:eastAsia="zh-CN"/>
        </w:rPr>
        <w:t xml:space="preserve">采购需求</w:t>
      </w:r>
      <w:r/>
    </w:p>
    <w:p>
      <w:pPr>
        <w:ind w:firstLine="422"/>
        <w:keepLines w:val="0"/>
        <w:keepNext w:val="0"/>
        <w:pageBreakBefore w:val="0"/>
        <w:spacing w:line="360" w:lineRule="auto"/>
        <w:widowControl w:val="off"/>
        <w:rPr>
          <w:rFonts w:hint="eastAsia" w:ascii="宋体" w:hAnsi="宋体" w:cs="Calibri"/>
          <w:b/>
          <w:bCs/>
          <w:highlight w:val="none"/>
          <w:lang w:val="en-US" w:eastAsia="zh-CN"/>
        </w:rPr>
      </w:pPr>
      <w:r>
        <w:rPr>
          <w:rFonts w:hint="eastAsia" w:ascii="宋体" w:hAnsi="宋体" w:cs="Calibri"/>
          <w:b/>
          <w:bCs/>
          <w:highlight w:val="none"/>
          <w:lang w:val="en-US" w:eastAsia="zh-CN"/>
        </w:rPr>
        <w:t xml:space="preserve">1、项目概况</w:t>
      </w:r>
      <w:r/>
    </w:p>
    <w:p>
      <w:pPr>
        <w:ind w:firstLine="420"/>
        <w:keepLines w:val="0"/>
        <w:keepNext w:val="0"/>
        <w:pageBreakBefore w:val="0"/>
        <w:spacing w:line="360" w:lineRule="auto"/>
        <w:widowControl w:val="off"/>
        <w:rPr>
          <w:rFonts w:hint="eastAsia" w:ascii="宋体" w:hAnsi="宋体" w:cs="Calibri"/>
          <w:highlight w:val="none"/>
        </w:rPr>
      </w:pPr>
      <w:r>
        <w:rPr>
          <w:rFonts w:hint="eastAsia" w:ascii="宋体" w:hAnsi="宋体" w:cs="Calibri"/>
          <w:highlight w:val="none"/>
        </w:rPr>
        <w:t xml:space="preserve">汇聚区内</w:t>
      </w:r>
      <w:r>
        <w:rPr>
          <w:rFonts w:hint="eastAsia" w:ascii="宋体" w:hAnsi="宋体" w:cs="Calibri"/>
          <w:highlight w:val="none"/>
          <w:lang w:val="en-US" w:eastAsia="zh-CN"/>
        </w:rPr>
        <w:t xml:space="preserve">10</w:t>
      </w:r>
      <w:r>
        <w:rPr>
          <w:rFonts w:hint="eastAsia" w:ascii="宋体" w:hAnsi="宋体" w:cs="Calibri"/>
          <w:highlight w:val="none"/>
        </w:rPr>
        <w:t xml:space="preserve">家企业内部监控类设备，在企业前端部署轻量化传输平台，将企业前端视频点位虚拟成标准点位通过数据专线（100M数据专线，三年期限运营维护）汇聚至园区平台统一管理，企业前端点位发生增减变化时，能通过平台一键配置实现，具备所有企业视频点位同时24小时实时传输</w:t>
      </w:r>
      <w:r>
        <w:rPr>
          <w:rFonts w:hint="eastAsia" w:ascii="宋体" w:hAnsi="宋体" w:cs="Calibri"/>
          <w:highlight w:val="none"/>
          <w:lang w:eastAsia="zh-CN"/>
        </w:rPr>
        <w:t xml:space="preserve">、</w:t>
      </w:r>
      <w:r>
        <w:rPr>
          <w:rFonts w:hint="eastAsia" w:ascii="宋体" w:hAnsi="宋体" w:cs="Calibri"/>
          <w:highlight w:val="none"/>
          <w:lang w:val="en-US" w:eastAsia="zh-CN"/>
        </w:rPr>
        <w:t xml:space="preserve">离线检测</w:t>
      </w:r>
      <w:r>
        <w:rPr>
          <w:rFonts w:hint="eastAsia" w:ascii="宋体" w:hAnsi="宋体" w:cs="Calibri"/>
          <w:highlight w:val="none"/>
        </w:rPr>
        <w:t xml:space="preserve">能力，实现所有企业视频画面实时传输至园区平台实时分析；如企业涉及前端汇聚改造由投标人自行承担，在运维期内如企业视频发生变化，中标人须无条件调整，投标人须保证数据与园区平台无缝对接。</w:t>
      </w:r>
      <w:r/>
    </w:p>
    <w:p>
      <w:pPr>
        <w:ind w:firstLine="420"/>
        <w:keepLines w:val="0"/>
        <w:keepNext w:val="0"/>
        <w:pageBreakBefore w:val="0"/>
        <w:spacing w:line="360" w:lineRule="auto"/>
        <w:widowControl w:val="off"/>
        <w:rPr>
          <w:rFonts w:hint="default" w:ascii="宋体" w:hAnsi="宋体" w:cs="Calibri"/>
          <w:highlight w:val="none"/>
          <w:lang w:val="en-US" w:eastAsia="zh-CN"/>
        </w:rPr>
      </w:pPr>
      <w:r>
        <w:rPr>
          <w:rFonts w:hint="eastAsia" w:ascii="宋体" w:hAnsi="宋体" w:cs="Calibri"/>
          <w:highlight w:val="none"/>
          <w:lang w:val="en-US" w:eastAsia="zh-CN"/>
        </w:rPr>
        <w:t xml:space="preserve">在园区内选择3处高空铁塔，2处企业办公楼顶，安装5台高空热成像火点检测仪，实现前端设备对烟火的实时动态检测。在长江生态走廊安装4台监控，实现前端设备的实时动态检测，</w:t>
      </w:r>
      <w:r>
        <w:rPr>
          <w:rFonts w:hint="eastAsia" w:ascii="宋体" w:hAnsi="宋体"/>
          <w:sz w:val="21"/>
          <w:highlight w:val="none"/>
          <w:lang w:eastAsia="zh-CN"/>
        </w:rPr>
        <w:t xml:space="preserve">另采购</w:t>
      </w:r>
      <w:r>
        <w:rPr>
          <w:rFonts w:hint="eastAsia" w:ascii="宋体" w:hAnsi="宋体"/>
          <w:sz w:val="21"/>
          <w:highlight w:val="none"/>
          <w:lang w:val="en-US" w:eastAsia="zh-CN"/>
        </w:rPr>
        <w:t xml:space="preserve">10台作为监控补盲，</w:t>
      </w:r>
      <w:r>
        <w:rPr>
          <w:rFonts w:hint="eastAsia" w:ascii="宋体" w:hAnsi="宋体" w:cs="Calibri"/>
          <w:highlight w:val="none"/>
          <w:lang w:val="en-US" w:eastAsia="zh-CN"/>
        </w:rPr>
        <w:t xml:space="preserve">投标人须保证</w:t>
      </w:r>
      <w:r>
        <w:rPr>
          <w:rFonts w:hint="eastAsia" w:ascii="宋体" w:hAnsi="宋体" w:cs="Calibri"/>
          <w:highlight w:val="none"/>
        </w:rPr>
        <w:t xml:space="preserve">数据与园区平台无缝对接。</w:t>
      </w:r>
      <w:r/>
    </w:p>
    <w:p>
      <w:pPr>
        <w:ind w:firstLine="420"/>
        <w:keepLines w:val="0"/>
        <w:keepNext w:val="0"/>
        <w:pageBreakBefore w:val="0"/>
        <w:spacing w:line="360" w:lineRule="auto"/>
        <w:widowControl w:val="off"/>
        <w:rPr>
          <w:rFonts w:hint="default" w:ascii="宋体" w:hAnsi="宋体" w:cs="Calibri"/>
          <w:highlight w:val="none"/>
          <w:lang w:val="en-US" w:eastAsia="zh-CN"/>
        </w:rPr>
      </w:pPr>
      <w:r>
        <w:rPr>
          <w:rFonts w:hint="eastAsia" w:ascii="宋体" w:hAnsi="宋体" w:cs="Calibri"/>
          <w:highlight w:val="none"/>
          <w:lang w:val="en-US" w:eastAsia="zh-CN"/>
        </w:rPr>
        <w:t xml:space="preserve">整体项目包含所需的铁塔租赁、设备采购、施工、安装、调试、视频回传线路及监控运维服务等。</w:t>
      </w:r>
      <w:r>
        <w:rPr>
          <w:rFonts w:hint="default" w:ascii="宋体" w:hAnsi="宋体" w:cs="Calibri"/>
          <w:highlight w:val="none"/>
          <w:lang w:val="en-US" w:eastAsia="zh-CN"/>
        </w:rPr>
        <w:t xml:space="preserve">所有设备与施工须符合GB/T28181、GB50348等国家及行业标准，</w:t>
      </w:r>
      <w:r>
        <w:rPr>
          <w:rFonts w:hint="default" w:ascii="宋体" w:hAnsi="宋体" w:cs="Calibri"/>
          <w:b/>
          <w:bCs/>
          <w:highlight w:val="none"/>
          <w:lang w:val="en-US" w:eastAsia="zh-CN"/>
        </w:rPr>
        <w:t xml:space="preserve">核心产品单路通用服务器</w:t>
      </w:r>
      <w:r>
        <w:rPr>
          <w:rFonts w:hint="default" w:ascii="宋体" w:hAnsi="宋体" w:cs="Calibri"/>
          <w:highlight w:val="none"/>
          <w:lang w:val="en-US" w:eastAsia="zh-CN"/>
        </w:rPr>
        <w:t xml:space="preserve">需满足指定技术参数、防护等级与检测报告要求，按清单数量在合同签订后</w:t>
      </w:r>
      <w:r>
        <w:rPr>
          <w:rFonts w:hint="eastAsia" w:ascii="宋体" w:hAnsi="宋体" w:cs="Calibri"/>
          <w:highlight w:val="none"/>
          <w:lang w:val="en-US" w:eastAsia="zh-CN"/>
        </w:rPr>
        <w:t xml:space="preserve">120</w:t>
      </w:r>
      <w:r>
        <w:rPr>
          <w:rFonts w:hint="default" w:ascii="宋体" w:hAnsi="宋体" w:cs="Calibri"/>
          <w:highlight w:val="none"/>
          <w:lang w:val="en-US" w:eastAsia="zh-CN"/>
        </w:rPr>
        <w:t xml:space="preserve">日历天内完成供货、安装与调试，实施地点涵盖泰兴区（镇）指定点位及园区机房；服务期3年</w:t>
      </w:r>
      <w:r>
        <w:rPr>
          <w:rFonts w:hint="eastAsia" w:ascii="宋体" w:hAnsi="宋体" w:cs="Calibri"/>
          <w:highlight w:val="none"/>
          <w:lang w:val="en-US" w:eastAsia="zh-CN"/>
        </w:rPr>
        <w:t xml:space="preserve">，</w:t>
      </w:r>
      <w:r>
        <w:rPr>
          <w:rFonts w:hint="default" w:ascii="宋体" w:hAnsi="宋体" w:cs="Calibri"/>
          <w:highlight w:val="none"/>
          <w:lang w:val="en-US" w:eastAsia="zh-CN"/>
        </w:rPr>
        <w:t xml:space="preserve">提供7×24小时、4小时到场的运维响应及免费培训，验收需设备齐全、安装规范、功能达标且连续试运行7天无故障，同时须兼容现有平台、提供全费用报价，并承担点位协调、系统升级、售后保障等全部工作。（具体详见采购</w:t>
      </w:r>
      <w:r>
        <w:rPr>
          <w:rFonts w:hint="eastAsia" w:ascii="宋体" w:hAnsi="宋体" w:cs="Calibri"/>
          <w:highlight w:val="none"/>
          <w:lang w:val="en-US" w:eastAsia="zh-CN"/>
        </w:rPr>
        <w:t xml:space="preserve">清单</w:t>
      </w:r>
      <w:r>
        <w:rPr>
          <w:rFonts w:hint="default" w:ascii="宋体" w:hAnsi="宋体" w:cs="Calibri"/>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cs="Calibri"/>
          <w:b/>
          <w:bCs/>
          <w:highlight w:val="none"/>
          <w:lang w:val="en-US" w:eastAsia="zh-CN"/>
        </w:rPr>
      </w:pPr>
      <w:r>
        <w:rPr>
          <w:rFonts w:hint="eastAsia" w:ascii="宋体" w:hAnsi="宋体" w:cs="Calibri"/>
          <w:b/>
          <w:bCs/>
          <w:sz w:val="21"/>
          <w:szCs w:val="22"/>
          <w:highlight w:val="none"/>
          <w:lang w:val="en-US" w:eastAsia="zh-CN" w:bidi="ar-SA"/>
        </w:rPr>
        <w:t xml:space="preserve">2</w:t>
      </w:r>
      <w:r>
        <w:rPr>
          <w:rFonts w:hint="eastAsia" w:ascii="宋体" w:hAnsi="宋体" w:eastAsia="宋体" w:cs="Calibri"/>
          <w:b/>
          <w:bCs/>
          <w:sz w:val="21"/>
          <w:szCs w:val="22"/>
          <w:highlight w:val="none"/>
          <w:lang w:val="en-US" w:eastAsia="zh-CN" w:bidi="ar-SA"/>
        </w:rPr>
        <w:t xml:space="preserve">、</w:t>
      </w:r>
      <w:r>
        <w:rPr>
          <w:rFonts w:hint="eastAsia" w:ascii="宋体" w:hAnsi="宋体" w:cs="Calibri"/>
          <w:b/>
          <w:bCs/>
          <w:highlight w:val="none"/>
          <w:lang w:val="en-US" w:eastAsia="zh-CN"/>
        </w:rPr>
        <w:t xml:space="preserve">详细点位介绍</w:t>
      </w:r>
      <w:r/>
    </w:p>
    <w:p>
      <w:pPr>
        <w:pStyle w:val="954"/>
        <w:pageBreakBefore w:val="0"/>
        <w:spacing w:line="360" w:lineRule="auto"/>
        <w:rPr>
          <w:rFonts w:hint="default" w:ascii="宋体" w:hAnsi="宋体" w:cs="Calibri"/>
          <w:highlight w:val="none"/>
          <w:lang w:val="en-US" w:eastAsia="zh-CN"/>
        </w:rPr>
      </w:pPr>
      <w:r>
        <w:rPr>
          <w:rFonts w:hint="eastAsia" w:ascii="宋体" w:hAnsi="宋体"/>
          <w:sz w:val="21"/>
          <w:highlight w:val="none"/>
        </w:rPr>
        <w:t xml:space="preserve">接入鑫龙晨、兴普泰、正博诺、速的奥</w:t>
      </w:r>
      <w:r>
        <w:rPr>
          <w:rFonts w:hint="eastAsia" w:ascii="宋体" w:hAnsi="宋体"/>
          <w:sz w:val="21"/>
          <w:highlight w:val="none"/>
        </w:rPr>
        <w:t xml:space="preserve">、同人新材、聚成泰、中试基地、金茂源、滨江镇指挥中心（村居监控）、日化产业园10家企业的视频监控，在企业前端部署轻量化传输平台，将企业前端视频点位虚拟成标准点位通过数据专线（100M数据专线，三年期限运营维护）汇聚至园区平台统一管理，企业前端点位发生增减变化时，能通过平台一键配置实现，具备所有企业视频点位同时24小时实时传输、离线检测能力，实现所有企业视频画面实时传输至园区平台实时分析。在生态廊道安装4台监控及1台高空瞭望（铁塔），在奥喜埃（铁塔）及马甸集镇区（铁塔）、人才公寓、产业创新中心建设4台高空瞭望</w:t>
      </w:r>
      <w:r>
        <w:rPr>
          <w:rFonts w:hint="eastAsia" w:ascii="宋体" w:hAnsi="宋体"/>
          <w:sz w:val="21"/>
          <w:highlight w:val="none"/>
          <w:lang w:eastAsia="zh-CN"/>
        </w:rPr>
        <w:t xml:space="preserve">。另采购</w:t>
      </w:r>
      <w:r>
        <w:rPr>
          <w:rFonts w:hint="eastAsia" w:ascii="宋体" w:hAnsi="宋体"/>
          <w:sz w:val="21"/>
          <w:highlight w:val="none"/>
          <w:lang w:val="en-US" w:eastAsia="zh-CN"/>
        </w:rPr>
        <w:t xml:space="preserve">10台作为监控补盲，</w:t>
      </w:r>
      <w:r>
        <w:rPr>
          <w:rFonts w:hint="eastAsia" w:ascii="宋体" w:hAnsi="宋体" w:cs="Calibri"/>
          <w:b w:val="0"/>
          <w:bCs w:val="0"/>
          <w:highlight w:val="none"/>
          <w:lang w:val="en-US" w:eastAsia="zh-CN"/>
        </w:rPr>
        <w:t xml:space="preserve">投标人可自行查勘、调研。</w:t>
      </w:r>
      <w:r/>
    </w:p>
    <w:p>
      <w:pPr>
        <w:keepLines w:val="0"/>
        <w:keepNext w:val="0"/>
        <w:pageBreakBefore w:val="0"/>
        <w:spacing w:line="360" w:lineRule="auto"/>
        <w:widowControl w:val="off"/>
        <w:rPr>
          <w:rFonts w:hint="default" w:ascii="宋体" w:hAnsi="宋体" w:cs="Calibri"/>
          <w:b/>
          <w:bCs/>
          <w:highlight w:val="none"/>
          <w:lang w:val="en-US" w:eastAsia="zh-CN"/>
        </w:rPr>
      </w:pPr>
      <w:r>
        <w:rPr>
          <w:rFonts w:hint="eastAsia" w:ascii="宋体" w:hAnsi="宋体" w:cs="Calibri"/>
          <w:b/>
          <w:bCs/>
          <w:highlight w:val="none"/>
          <w:lang w:val="en-US" w:eastAsia="zh-CN"/>
        </w:rPr>
        <w:t xml:space="preserve">五、</w:t>
      </w:r>
      <w:r>
        <w:rPr>
          <w:rFonts w:hint="default" w:ascii="宋体" w:hAnsi="宋体" w:cs="Calibri"/>
          <w:b/>
          <w:bCs/>
          <w:highlight w:val="none"/>
          <w:lang w:val="en-US" w:eastAsia="zh-CN"/>
        </w:rPr>
        <w:t xml:space="preserve">技术标准</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性能要求：视频传输应确保无卡顿、低延时，烟火检测响应时间不超过3秒，识别准确率不低于99%；平台需支持并发接入、实时分析及离线自动告警功能。</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材料与结构：户外设备应采用抗老化、耐腐蚀、高强度材质，支架需牢固可靠，防水及防雷配件应配置齐全。</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外观与安全：设备外观需保持整洁无破损，户外设备防护等级应不低于IP66；系统应符合网络安全、数据安全及电气安全相关规范。</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服务内容标准：轻量化传输平台应实现稳定兼容，专线带宽需达到规定标准，支持点位一键配置及自动适配功能。</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验收标准：设备参数应与清单一致，安装需符合规范，功能应全部满足要求，并需通过连续7天无故障试运行；相关资料应齐全完整，平台对接应保持通畅。</w:t>
      </w:r>
      <w:r/>
    </w:p>
    <w:p>
      <w:pPr>
        <w:pStyle w:val="1049"/>
        <w:numPr>
          <w:ilvl w:val="0"/>
          <w:numId w:val="0"/>
        </w:numPr>
        <w:ind w:firstLine="422"/>
        <w:keepLines w:val="0"/>
        <w:keepNext w:val="0"/>
        <w:pageBreakBefore w:val="0"/>
        <w:spacing w:line="360" w:lineRule="auto"/>
        <w:widowControl w:val="off"/>
        <w:rPr>
          <w:rFonts w:hint="eastAsia" w:ascii="宋体" w:hAnsi="宋体" w:eastAsia="宋体"/>
          <w:b/>
          <w:sz w:val="21"/>
          <w:szCs w:val="21"/>
          <w:highlight w:val="none"/>
        </w:rPr>
        <w:outlineLvl w:val="0"/>
      </w:pPr>
      <w:r/>
      <w:bookmarkStart w:id="278" w:name="_Toc218522924"/>
      <w:r>
        <w:rPr>
          <w:rFonts w:hint="eastAsia" w:ascii="宋体" w:hAnsi="宋体" w:eastAsia="宋体"/>
          <w:b/>
          <w:sz w:val="21"/>
          <w:szCs w:val="21"/>
          <w:highlight w:val="none"/>
        </w:rPr>
        <w:t xml:space="preserve">其他情况说明</w:t>
      </w:r>
      <w:bookmarkEnd w:id="278"/>
      <w:r/>
      <w:r/>
    </w:p>
    <w:p>
      <w:pPr>
        <w:ind w:firstLine="560"/>
        <w:jc w:val="left"/>
        <w:keepLines w:val="0"/>
        <w:keepNext w:val="0"/>
        <w:pageBreakBefore w:val="0"/>
        <w:spacing w:line="360" w:lineRule="auto"/>
        <w:widowControl w:val="off"/>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1、</w:t>
      </w:r>
      <w:r>
        <w:rPr>
          <w:rFonts w:hint="eastAsia" w:ascii="宋体" w:hAnsi="宋体" w:eastAsia="宋体"/>
          <w:b/>
          <w:bCs/>
          <w:color w:val="ff0000"/>
          <w:sz w:val="21"/>
          <w:szCs w:val="21"/>
          <w:highlight w:val="none"/>
          <w:lang w:val="en-US" w:eastAsia="zh-CN"/>
        </w:rPr>
        <w:t xml:space="preserve">设备技术参数除附加功能外，其他均不允许负偏离，附加功能为</w:t>
      </w:r>
      <w:r>
        <w:rPr>
          <w:rFonts w:hint="default" w:ascii="宋体" w:hAnsi="宋体" w:eastAsia="宋体"/>
          <w:b/>
          <w:bCs/>
          <w:color w:val="ff0000"/>
          <w:sz w:val="21"/>
          <w:szCs w:val="21"/>
          <w:highlight w:val="none"/>
          <w:lang w:val="en-US" w:eastAsia="zh-CN"/>
        </w:rPr>
        <w:t xml:space="preserve">评审加分项，不作为否决项，</w:t>
      </w:r>
      <w:r>
        <w:rPr>
          <w:rFonts w:hint="eastAsia" w:ascii="宋体" w:hAnsi="宋体" w:eastAsia="宋体"/>
          <w:b/>
          <w:bCs/>
          <w:color w:val="ff0000"/>
          <w:sz w:val="21"/>
          <w:szCs w:val="21"/>
          <w:highlight w:val="none"/>
          <w:lang w:val="en-US" w:eastAsia="zh-CN"/>
        </w:rPr>
        <w:t xml:space="preserve">提供</w:t>
      </w:r>
      <w:r>
        <w:rPr>
          <w:rFonts w:hint="default" w:ascii="宋体" w:hAnsi="宋体" w:eastAsia="宋体"/>
          <w:b/>
          <w:bCs/>
          <w:color w:val="ff0000"/>
          <w:sz w:val="21"/>
          <w:szCs w:val="21"/>
          <w:highlight w:val="none"/>
          <w:lang w:val="en-US" w:eastAsia="zh-CN"/>
        </w:rPr>
        <w:t xml:space="preserve">相关证明材料</w:t>
      </w:r>
      <w:r>
        <w:rPr>
          <w:rFonts w:hint="eastAsia" w:ascii="宋体" w:hAnsi="宋体" w:eastAsia="宋体"/>
          <w:b/>
          <w:bCs/>
          <w:color w:val="ff0000"/>
          <w:sz w:val="21"/>
          <w:szCs w:val="21"/>
          <w:highlight w:val="none"/>
          <w:lang w:val="en-US" w:eastAsia="zh-CN"/>
        </w:rPr>
        <w:t xml:space="preserve">可按照评分标准加</w:t>
      </w:r>
      <w:r>
        <w:rPr>
          <w:rFonts w:hint="default" w:ascii="宋体" w:hAnsi="宋体" w:eastAsia="宋体"/>
          <w:b/>
          <w:bCs/>
          <w:color w:val="ff0000"/>
          <w:sz w:val="21"/>
          <w:szCs w:val="21"/>
          <w:highlight w:val="none"/>
          <w:lang w:val="en-US" w:eastAsia="zh-CN"/>
        </w:rPr>
        <w:t xml:space="preserve">分</w:t>
      </w:r>
      <w:r>
        <w:rPr>
          <w:rFonts w:hint="eastAsia" w:ascii="宋体" w:hAnsi="宋体" w:eastAsia="宋体"/>
          <w:b/>
          <w:bCs/>
          <w:color w:val="ff0000"/>
          <w:sz w:val="21"/>
          <w:szCs w:val="21"/>
          <w:highlight w:val="none"/>
        </w:rPr>
        <w:t xml:space="preserve">。</w:t>
      </w:r>
      <w:r/>
    </w:p>
    <w:p>
      <w:pPr>
        <w:ind w:firstLine="560"/>
        <w:jc w:val="left"/>
        <w:keepLines w:val="0"/>
        <w:keepNext w:val="0"/>
        <w:pageBreakBefore w:val="0"/>
        <w:spacing w:line="360" w:lineRule="auto"/>
        <w:widowControl w:val="off"/>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2、</w:t>
      </w:r>
      <w:r>
        <w:rPr>
          <w:rFonts w:hint="eastAsia" w:ascii="宋体" w:hAnsi="宋体" w:eastAsia="宋体"/>
          <w:b/>
          <w:bCs/>
          <w:sz w:val="21"/>
          <w:szCs w:val="21"/>
          <w:highlight w:val="none"/>
        </w:rPr>
        <w:t xml:space="preserve">本次采购所有电子设备</w:t>
      </w:r>
      <w:r>
        <w:rPr>
          <w:rFonts w:hint="eastAsia" w:ascii="宋体" w:hAnsi="宋体" w:eastAsia="宋体"/>
          <w:b/>
          <w:bCs/>
          <w:sz w:val="21"/>
          <w:szCs w:val="21"/>
          <w:highlight w:val="none"/>
          <w:lang w:eastAsia="zh-CN"/>
        </w:rPr>
        <w:t xml:space="preserve">须</w:t>
      </w:r>
      <w:r>
        <w:rPr>
          <w:rFonts w:hint="eastAsia" w:ascii="宋体" w:hAnsi="宋体" w:eastAsia="宋体"/>
          <w:b/>
          <w:bCs/>
          <w:sz w:val="21"/>
          <w:szCs w:val="21"/>
          <w:highlight w:val="none"/>
        </w:rPr>
        <w:t xml:space="preserve">保证无缝接入</w:t>
      </w:r>
      <w:r>
        <w:rPr>
          <w:rFonts w:hint="eastAsia" w:ascii="宋体" w:hAnsi="宋体" w:eastAsia="宋体"/>
          <w:b/>
          <w:bCs/>
          <w:sz w:val="21"/>
          <w:szCs w:val="21"/>
          <w:highlight w:val="none"/>
          <w:lang w:val="en-US" w:eastAsia="zh-CN"/>
        </w:rPr>
        <w:t xml:space="preserve">采购</w:t>
      </w:r>
      <w:r>
        <w:rPr>
          <w:rFonts w:hint="eastAsia" w:ascii="宋体" w:hAnsi="宋体" w:eastAsia="宋体"/>
          <w:b/>
          <w:bCs/>
          <w:sz w:val="21"/>
          <w:szCs w:val="21"/>
          <w:highlight w:val="none"/>
        </w:rPr>
        <w:t xml:space="preserve">人现有系统、平台。</w:t>
      </w:r>
      <w:r/>
    </w:p>
    <w:p>
      <w:pPr>
        <w:ind w:firstLine="560"/>
        <w:jc w:val="left"/>
        <w:keepLines w:val="0"/>
        <w:keepNext w:val="0"/>
        <w:pageBreakBefore w:val="0"/>
        <w:spacing w:line="360" w:lineRule="auto"/>
        <w:widowControl w:val="off"/>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w:t>
      </w:r>
      <w:r>
        <w:rPr>
          <w:rFonts w:hint="eastAsia" w:ascii="宋体" w:hAnsi="宋体" w:eastAsia="宋体"/>
          <w:b/>
          <w:bCs/>
          <w:sz w:val="21"/>
          <w:szCs w:val="21"/>
          <w:highlight w:val="none"/>
        </w:rPr>
        <w:t xml:space="preserve">、本次采购所有杆件、指示牌等设备外观需满足</w:t>
      </w:r>
      <w:r>
        <w:rPr>
          <w:rFonts w:hint="eastAsia" w:ascii="宋体" w:hAnsi="宋体" w:eastAsia="宋体"/>
          <w:b/>
          <w:bCs/>
          <w:sz w:val="21"/>
          <w:szCs w:val="21"/>
          <w:highlight w:val="none"/>
          <w:lang w:val="en-US" w:eastAsia="zh-CN"/>
        </w:rPr>
        <w:t xml:space="preserve">采购</w:t>
      </w:r>
      <w:r>
        <w:rPr>
          <w:rFonts w:hint="eastAsia" w:ascii="宋体" w:hAnsi="宋体" w:eastAsia="宋体"/>
          <w:b/>
          <w:bCs/>
          <w:sz w:val="21"/>
          <w:szCs w:val="21"/>
          <w:highlight w:val="none"/>
        </w:rPr>
        <w:t xml:space="preserve">人要求。</w:t>
      </w:r>
      <w:r/>
    </w:p>
    <w:p>
      <w:pPr>
        <w:jc w:val="left"/>
        <w:keepLines w:val="0"/>
        <w:keepNext w:val="0"/>
        <w:pageBreakBefore w:val="0"/>
        <w:spacing w:line="360" w:lineRule="auto"/>
        <w:widowControl w:val="off"/>
        <w:rPr>
          <w:rFonts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六</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lang w:val="en-US" w:eastAsia="zh-CN"/>
        </w:rPr>
        <w:t xml:space="preserve">商务要求</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sz w:val="21"/>
          <w:szCs w:val="21"/>
          <w:highlight w:val="none"/>
          <w:lang w:val="en-US" w:eastAsia="zh-CN"/>
        </w:rPr>
        <w:t xml:space="preserve">1、</w:t>
      </w:r>
      <w:r>
        <w:rPr>
          <w:rFonts w:hint="eastAsia" w:ascii="宋体" w:hAnsi="宋体" w:cs="Calibri"/>
          <w:highlight w:val="none"/>
          <w:lang w:val="en-US" w:eastAsia="zh-CN"/>
        </w:rPr>
        <w:t xml:space="preserve">工期：自合同签订之日起120个日历天内，需完成全部设备的供货、安装、调试工作并交付使用。</w:t>
      </w:r>
      <w:r/>
    </w:p>
    <w:p>
      <w:pPr>
        <w:ind w:firstLine="420"/>
        <w:jc w:val="left"/>
        <w:keepLines w:val="0"/>
        <w:keepNext w:val="0"/>
        <w:pageBreakBefore w:val="0"/>
        <w:spacing w:line="360" w:lineRule="auto"/>
        <w:widowControl w:val="off"/>
        <w:rPr>
          <w:rFonts w:ascii="宋体" w:hAnsi="宋体" w:eastAsia="宋体"/>
          <w:sz w:val="21"/>
          <w:szCs w:val="21"/>
          <w:highlight w:val="none"/>
        </w:rPr>
      </w:pPr>
      <w:r>
        <w:rPr>
          <w:rFonts w:hint="eastAsia" w:ascii="宋体" w:hAnsi="宋体"/>
          <w:sz w:val="21"/>
          <w:szCs w:val="21"/>
          <w:highlight w:val="none"/>
          <w:lang w:val="en-US" w:eastAsia="zh-CN"/>
        </w:rPr>
        <w:t xml:space="preserve">2、</w:t>
      </w:r>
      <w:r>
        <w:rPr>
          <w:rFonts w:hint="eastAsia" w:ascii="宋体" w:hAnsi="宋体" w:eastAsia="宋体"/>
          <w:sz w:val="21"/>
          <w:szCs w:val="21"/>
          <w:highlight w:val="none"/>
        </w:rPr>
        <w:t xml:space="preserve">项目</w:t>
      </w:r>
      <w:r>
        <w:rPr>
          <w:rFonts w:hint="eastAsia" w:ascii="宋体" w:hAnsi="宋体"/>
          <w:sz w:val="21"/>
          <w:szCs w:val="21"/>
          <w:highlight w:val="none"/>
          <w:lang w:eastAsia="zh-CN"/>
        </w:rPr>
        <w:t xml:space="preserve">实施</w:t>
      </w:r>
      <w:r>
        <w:rPr>
          <w:rFonts w:hint="eastAsia" w:ascii="宋体" w:hAnsi="宋体" w:eastAsia="宋体"/>
          <w:sz w:val="21"/>
          <w:szCs w:val="21"/>
          <w:highlight w:val="none"/>
        </w:rPr>
        <w:t xml:space="preserve">地点：</w:t>
      </w:r>
      <w:r>
        <w:rPr>
          <w:rFonts w:hint="eastAsia" w:ascii="宋体" w:hAnsi="宋体" w:cs="Calibri"/>
          <w:highlight w:val="none"/>
          <w:lang w:val="en-US" w:eastAsia="zh-CN"/>
        </w:rPr>
        <w:t xml:space="preserve">甲方指定点位、企业前端、铁塔点位及园区机房全域</w:t>
      </w:r>
      <w:r>
        <w:rPr>
          <w:rFonts w:hint="eastAsia" w:ascii="宋体" w:hAnsi="宋体" w:eastAsia="宋体"/>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cs="Times New Roman"/>
          <w:sz w:val="21"/>
          <w:szCs w:val="21"/>
          <w:highlight w:val="none"/>
          <w:lang w:eastAsia="zh-CN"/>
        </w:rPr>
      </w:pPr>
      <w:r>
        <w:rPr>
          <w:rFonts w:hint="eastAsia" w:ascii="宋体" w:hAnsi="宋体"/>
          <w:sz w:val="21"/>
          <w:szCs w:val="21"/>
          <w:highlight w:val="none"/>
          <w:lang w:val="en-US" w:eastAsia="zh-CN"/>
        </w:rPr>
        <w:t xml:space="preserve">3、</w:t>
      </w:r>
      <w:r>
        <w:rPr>
          <w:rFonts w:hint="eastAsia" w:ascii="宋体" w:hAnsi="宋体" w:eastAsia="宋体"/>
          <w:sz w:val="21"/>
          <w:szCs w:val="21"/>
          <w:highlight w:val="none"/>
        </w:rPr>
        <w:t xml:space="preserve">付款进度和方式：</w:t>
      </w:r>
      <w:r>
        <w:rPr>
          <w:rFonts w:hint="eastAsia" w:ascii="宋体" w:hAnsi="宋体" w:cs="宋体"/>
          <w:sz w:val="24"/>
          <w:szCs w:val="24"/>
          <w:highlight w:val="none"/>
          <w:lang w:eastAsia="zh-CN"/>
        </w:rPr>
        <w:t xml:space="preserve">合同签订后，甲方支付合同总价款的30%作为预付款，设备进场且安装验收合格后付至合同总价款的80%，余款自验收合格之日起满三年后付清合同价的余款（所有款项均不计利息）</w:t>
      </w:r>
      <w:r>
        <w:rPr>
          <w:rFonts w:hint="default" w:ascii="宋体" w:hAnsi="宋体" w:eastAsia="宋体" w:cs="宋体"/>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cs="Calibri"/>
          <w:highlight w:val="none"/>
          <w:lang w:val="en-US" w:eastAsia="zh-CN"/>
        </w:rPr>
      </w:pPr>
      <w:r>
        <w:rPr>
          <w:rFonts w:hint="eastAsia" w:ascii="宋体" w:hAnsi="宋体" w:cs="Calibri"/>
          <w:highlight w:val="none"/>
          <w:lang w:val="en-US" w:eastAsia="zh-CN"/>
        </w:rPr>
        <w:t xml:space="preserve">4、服务及免费质保期：整体服务期限为3年，包含设备质保、线路运维、系统升级及技术支持等服务。</w:t>
      </w:r>
      <w:r/>
    </w:p>
    <w:p>
      <w:pPr>
        <w:ind w:firstLine="420"/>
        <w:keepLines w:val="0"/>
        <w:keepNext w:val="0"/>
        <w:pageBreakBefore w:val="0"/>
        <w:spacing w:line="360" w:lineRule="auto"/>
        <w:widowControl w:val="off"/>
        <w:rPr>
          <w:rFonts w:hint="eastAsia" w:ascii="宋体" w:hAnsi="宋体" w:cs="Calibri"/>
          <w:highlight w:val="none"/>
          <w:lang w:val="en-US" w:eastAsia="zh-CN"/>
        </w:rPr>
      </w:pPr>
      <w:r>
        <w:rPr>
          <w:rFonts w:hint="eastAsia" w:ascii="宋体" w:hAnsi="宋体" w:cs="Calibri"/>
          <w:highlight w:val="none"/>
          <w:lang w:val="en-US" w:eastAsia="zh-CN"/>
        </w:rPr>
        <w:t xml:space="preserve">5、报价：本项目报价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相关劳务支出、项目验收等所产生的全部费用</w:t>
      </w:r>
      <w:r>
        <w:rPr>
          <w:rFonts w:hint="eastAsia" w:ascii="宋体" w:hAnsi="宋体" w:eastAsia="宋体" w:cs="宋体"/>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6、交付：需提供完整的系统、竣工资料、操作手册、账号权限及维保方案等。</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包装和运输要求：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货物运输选择合适的运输方式：根据设备的特点和数量，选择合适的运输方式，如公路运输、铁路运输或空运等。确保运输过程中设备的安全和稳定；运输过程中的保护措施：在运输过程中，应采取必要的保护措施，如固定设备位置、避免振动和碰撞等。对于大型或重型设备，应使用专用运输工具进行运输；运输时间控制：尽量缩短运输时间，以减少设备在运输过程中的风险。对于紧急采购的设备，应优先安排运输，确保及时到达。</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中标方应对设备、安装设备（工具）等提供适当的保护、包装或覆盖等处理，以免受损；中标方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方提供的设备必须为原包装，在送交验收前不得拆箱。</w:t>
      </w:r>
      <w:r/>
    </w:p>
    <w:p>
      <w:pPr>
        <w:keepLines w:val="0"/>
        <w:keepNext w:val="0"/>
        <w:pageBreakBefore w:val="0"/>
        <w:spacing w:line="360" w:lineRule="auto"/>
        <w:widowControl w:val="off"/>
        <w:rPr>
          <w:rFonts w:hint="default" w:ascii="宋体" w:hAnsi="宋体" w:cs="Calibri"/>
          <w:b/>
          <w:bCs/>
          <w:highlight w:val="none"/>
          <w:lang w:val="en-US" w:eastAsia="zh-CN"/>
        </w:rPr>
      </w:pPr>
      <w:r>
        <w:rPr>
          <w:rFonts w:hint="eastAsia" w:ascii="宋体" w:hAnsi="宋体" w:cs="Calibri"/>
          <w:b/>
          <w:bCs/>
          <w:highlight w:val="none"/>
          <w:lang w:val="en-US" w:eastAsia="zh-CN"/>
        </w:rPr>
        <w:t xml:space="preserve">七</w:t>
      </w:r>
      <w:r>
        <w:rPr>
          <w:rFonts w:hint="default" w:ascii="宋体" w:hAnsi="宋体" w:cs="Calibri"/>
          <w:b/>
          <w:bCs/>
          <w:highlight w:val="none"/>
          <w:lang w:val="en-US" w:eastAsia="zh-CN"/>
        </w:rPr>
        <w:t xml:space="preserve">、应急情况处置</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应建立7×24小时应急响应机制，实施故障分级处置，并配备专人值守。</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设备、线路或平台发生故障时，需在4小时内到场，一般故障应在8小时内修复，重大故障应在24小时内解决并提供备用方案。</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在台风、暴雨、雷电等极端天气发生前后，需完成设备巡检加固及快速抢修工作。</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系统应具备数据备份、断点续传及故障自愈能力，确保视频传输不中断、数据不丢失。</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对于企业点位调整、施工协调等问题，应无条件快速处置，避免影响系统正常运行。</w:t>
      </w:r>
      <w:r/>
    </w:p>
    <w:p>
      <w:pPr>
        <w:keepLines w:val="0"/>
        <w:keepNext w:val="0"/>
        <w:pageBreakBefore w:val="0"/>
        <w:spacing w:line="360" w:lineRule="auto"/>
        <w:widowControl w:val="off"/>
        <w:rPr>
          <w:rFonts w:hint="default" w:ascii="宋体" w:hAnsi="宋体" w:cs="Calibri"/>
          <w:b/>
          <w:bCs/>
          <w:highlight w:val="none"/>
          <w:lang w:val="en-US" w:eastAsia="zh-CN"/>
        </w:rPr>
      </w:pPr>
      <w:r>
        <w:rPr>
          <w:rFonts w:hint="eastAsia" w:ascii="宋体" w:hAnsi="宋体" w:cs="Calibri"/>
          <w:b/>
          <w:bCs/>
          <w:highlight w:val="none"/>
          <w:lang w:val="en-US" w:eastAsia="zh-CN"/>
        </w:rPr>
        <w:t xml:space="preserve">八</w:t>
      </w:r>
      <w:r>
        <w:rPr>
          <w:rFonts w:hint="default" w:ascii="宋体" w:hAnsi="宋体" w:cs="Calibri"/>
          <w:b/>
          <w:bCs/>
          <w:highlight w:val="none"/>
          <w:lang w:val="en-US" w:eastAsia="zh-CN"/>
        </w:rPr>
        <w:t xml:space="preserve">、售后服务要求</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运维响应：提供7×24小时技术支持服务，确保在4小时内到达现场进行处置。</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日常运维：开展定期巡检、设备保养、系统优化及故障预警工作。</w:t>
      </w:r>
      <w:r/>
    </w:p>
    <w:p>
      <w:pPr>
        <w:ind w:firstLine="420"/>
        <w:keepLines w:val="0"/>
        <w:keepNext w:val="0"/>
        <w:pageBreakBefore w:val="0"/>
        <w:spacing w:line="360" w:lineRule="auto"/>
        <w:widowControl w:val="off"/>
        <w:rPr>
          <w:rFonts w:hint="eastAsia" w:eastAsiaTheme="minorEastAsia"/>
          <w:highlight w:val="none"/>
          <w:lang w:eastAsia="zh-CN"/>
        </w:rPr>
      </w:pPr>
      <w:r>
        <w:rPr>
          <w:rFonts w:hint="eastAsia" w:ascii="宋体" w:hAnsi="宋体" w:cs="Calibri"/>
          <w:highlight w:val="none"/>
          <w:lang w:val="en-US" w:eastAsia="zh-CN"/>
        </w:rPr>
        <w:t xml:space="preserve">免费升级：服务期内，提供软件版本、功能及兼容性的免费升级服务。</w:t>
      </w:r>
      <w:r/>
    </w:p>
    <w:p>
      <w:pPr>
        <w:ind w:firstLine="420"/>
        <w:keepLines w:val="0"/>
        <w:keepNext w:val="0"/>
        <w:pageBreakBefore w:val="0"/>
        <w:spacing w:line="360" w:lineRule="auto"/>
        <w:widowControl w:val="off"/>
        <w:rPr>
          <w:rFonts w:hint="eastAsia" w:ascii="宋体" w:hAnsi="宋体" w:cs="Calibri"/>
          <w:highlight w:val="none"/>
          <w:lang w:val="en-US" w:eastAsia="zh-CN"/>
        </w:rPr>
      </w:pPr>
      <w:r>
        <w:rPr>
          <w:rFonts w:hint="eastAsia" w:ascii="宋体" w:hAnsi="宋体" w:cs="Calibri"/>
          <w:highlight w:val="none"/>
          <w:lang w:val="en-US" w:eastAsia="zh-CN"/>
        </w:rPr>
        <w:t xml:space="preserve">免费培训：组织操作、运维及故障处理的现场培训，确保采购人能够独立使用系统。</w:t>
      </w:r>
      <w:r/>
    </w:p>
    <w:p>
      <w:pPr>
        <w:ind w:firstLine="420"/>
        <w:keepLines w:val="0"/>
        <w:keepNext w:val="0"/>
        <w:pageBreakBefore w:val="0"/>
        <w:spacing w:line="360" w:lineRule="auto"/>
        <w:widowControl w:val="off"/>
        <w:rPr>
          <w:rFonts w:hint="eastAsia" w:ascii="宋体" w:hAnsi="宋体" w:cs="Calibri"/>
          <w:highlight w:val="none"/>
          <w:lang w:val="en-US" w:eastAsia="zh-CN"/>
        </w:rPr>
      </w:pPr>
      <w:r>
        <w:rPr>
          <w:rFonts w:hint="eastAsia" w:ascii="宋体" w:hAnsi="宋体" w:cs="Calibri"/>
          <w:highlight w:val="none"/>
          <w:lang w:val="en-US" w:eastAsia="zh-CN"/>
        </w:rPr>
        <w:t xml:space="preserve">备件保障：常备核心设备备件，以便在故障发生时快速更换，保障系统连续运行。</w:t>
      </w:r>
      <w:r/>
    </w:p>
    <w:p>
      <w:pPr>
        <w:ind w:firstLine="420"/>
        <w:keepLines w:val="0"/>
        <w:keepNext w:val="0"/>
        <w:pageBreakBefore w:val="0"/>
        <w:spacing w:line="360" w:lineRule="auto"/>
        <w:widowControl w:val="off"/>
        <w:rPr>
          <w:rFonts w:hint="eastAsia" w:ascii="宋体" w:hAnsi="宋体" w:cs="Calibri"/>
          <w:highlight w:val="none"/>
          <w:lang w:val="en-US" w:eastAsia="zh-CN"/>
        </w:rPr>
      </w:pPr>
      <w:r>
        <w:rPr>
          <w:rFonts w:hint="eastAsia" w:ascii="宋体" w:hAnsi="宋体" w:cs="Calibri"/>
          <w:highlight w:val="none"/>
          <w:lang w:val="en-US" w:eastAsia="zh-CN"/>
        </w:rPr>
        <w:t xml:space="preserve">无条件适配：服务期内，对于企业点位增减、平台升级等情况，应免费配合调整，确保系统长期无缝对接。</w:t>
      </w:r>
      <w:r/>
    </w:p>
    <w:p>
      <w:pPr>
        <w:numPr>
          <w:ilvl w:val="0"/>
          <w:numId w:val="0"/>
        </w:numPr>
        <w:jc w:val="left"/>
        <w:keepLines w:val="0"/>
        <w:keepNext w:val="0"/>
        <w:pageBreakBefore w:val="0"/>
        <w:spacing w:line="360" w:lineRule="auto"/>
        <w:widowControl w:val="off"/>
        <w:rPr>
          <w:rFonts w:ascii="宋体" w:hAnsi="宋体" w:eastAsia="宋体" w:cs="Times New Roman"/>
          <w:b/>
          <w:bCs/>
          <w:sz w:val="21"/>
          <w:szCs w:val="21"/>
          <w:highlight w:val="none"/>
        </w:rPr>
      </w:pPr>
      <w:r>
        <w:rPr>
          <w:rFonts w:hint="eastAsia" w:ascii="宋体" w:hAnsi="宋体" w:cs="Times New Roman"/>
          <w:b/>
          <w:bCs/>
          <w:sz w:val="21"/>
          <w:szCs w:val="21"/>
          <w:highlight w:val="none"/>
          <w:lang w:eastAsia="zh-CN"/>
        </w:rPr>
        <w:t xml:space="preserve">九、</w:t>
      </w:r>
      <w:r>
        <w:rPr>
          <w:rFonts w:ascii="宋体" w:hAnsi="宋体" w:eastAsia="宋体" w:cs="Times New Roman"/>
          <w:b/>
          <w:bCs/>
          <w:sz w:val="21"/>
          <w:szCs w:val="21"/>
          <w:highlight w:val="none"/>
        </w:rPr>
        <w:t xml:space="preserve">项目保密要求</w:t>
      </w:r>
      <w:r/>
    </w:p>
    <w:p>
      <w:pPr>
        <w:numPr>
          <w:ilvl w:val="0"/>
          <w:numId w:val="0"/>
        </w:numPr>
        <w:ind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cs="Times New Roman"/>
          <w:sz w:val="21"/>
          <w:szCs w:val="21"/>
          <w:highlight w:val="none"/>
          <w:lang w:val="en-US" w:eastAsia="zh-CN"/>
        </w:rPr>
        <w:t xml:space="preserve">1、</w:t>
      </w:r>
      <w:r>
        <w:rPr>
          <w:rFonts w:ascii="宋体" w:hAnsi="宋体" w:eastAsia="宋体" w:cs="Times New Roman"/>
          <w:sz w:val="21"/>
          <w:szCs w:val="21"/>
          <w:highlight w:val="none"/>
        </w:rPr>
        <w:t xml:space="preserve">严格遵守国家保密法规，健全保密管理机构，建立完善并严格落实保密管理制度。</w:t>
      </w:r>
      <w:r/>
    </w:p>
    <w:p>
      <w:pPr>
        <w:numPr>
          <w:ilvl w:val="0"/>
          <w:numId w:val="0"/>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cs="Times New Roman"/>
          <w:sz w:val="21"/>
          <w:szCs w:val="21"/>
          <w:highlight w:val="none"/>
          <w:lang w:val="en-US" w:eastAsia="zh-CN"/>
        </w:rPr>
        <w:t xml:space="preserve">2、</w:t>
      </w:r>
      <w:r>
        <w:rPr>
          <w:rFonts w:ascii="宋体" w:hAnsi="宋体" w:eastAsia="宋体" w:cs="Times New Roman"/>
          <w:sz w:val="21"/>
          <w:szCs w:val="21"/>
          <w:highlight w:val="none"/>
        </w:rPr>
        <w:t xml:space="preserve">投标方对响应文件制作应实行专人管理、专室专柜存放、专机处理，不得擅自复制、扩散。不得在联网计算机中处理或者存储涉密信息。不得通过普通电话、传真、邮政、快递和互联网等渠道传递涉密信息。</w:t>
      </w:r>
      <w:r/>
    </w:p>
    <w:p>
      <w:pPr>
        <w:numPr>
          <w:ilvl w:val="0"/>
          <w:numId w:val="0"/>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cs="Times New Roman"/>
          <w:sz w:val="21"/>
          <w:szCs w:val="21"/>
          <w:highlight w:val="none"/>
          <w:lang w:val="en-US" w:eastAsia="zh-CN" w:bidi="ar-SA"/>
        </w:rPr>
        <w:t xml:space="preserve">3、</w:t>
      </w:r>
      <w:r>
        <w:rPr>
          <w:rFonts w:ascii="宋体" w:hAnsi="宋体" w:eastAsia="宋体" w:cs="Times New Roman"/>
          <w:sz w:val="21"/>
          <w:szCs w:val="21"/>
          <w:highlight w:val="none"/>
        </w:rPr>
        <w:t xml:space="preserve">投标方严禁在互联网上发布涉密信息。</w:t>
      </w:r>
      <w:r/>
    </w:p>
    <w:p>
      <w:pPr>
        <w:numPr>
          <w:ilvl w:val="0"/>
          <w:numId w:val="0"/>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cs="Times New Roman"/>
          <w:sz w:val="21"/>
          <w:szCs w:val="21"/>
          <w:highlight w:val="none"/>
          <w:lang w:val="en-US" w:eastAsia="zh-CN"/>
        </w:rPr>
        <w:t xml:space="preserve">4、</w:t>
      </w:r>
      <w:r>
        <w:rPr>
          <w:rFonts w:ascii="宋体" w:hAnsi="宋体" w:eastAsia="宋体" w:cs="Times New Roman"/>
          <w:sz w:val="21"/>
          <w:szCs w:val="21"/>
          <w:highlight w:val="none"/>
        </w:rPr>
        <w:t xml:space="preserve">严格落实采购人安全保密要求，主动接受和配合现场保密检查。</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5、</w:t>
      </w:r>
      <w:r>
        <w:rPr>
          <w:rFonts w:ascii="宋体" w:hAnsi="宋体" w:eastAsia="宋体" w:cs="Times New Roman"/>
          <w:sz w:val="21"/>
          <w:szCs w:val="21"/>
          <w:highlight w:val="none"/>
        </w:rPr>
        <w:t xml:space="preserve">未经采购人允许，不得擅自采集采购人基础数据</w:t>
      </w:r>
      <w:r>
        <w:rPr>
          <w:rFonts w:hint="eastAsia" w:ascii="宋体" w:hAnsi="宋体" w:eastAsia="宋体" w:cs="Times New Roman"/>
          <w:sz w:val="21"/>
          <w:szCs w:val="21"/>
          <w:highlight w:val="none"/>
          <w:lang w:eastAsia="zh-CN"/>
        </w:rPr>
        <w:t xml:space="preserve">。</w:t>
      </w:r>
      <w:r/>
    </w:p>
    <w:p>
      <w:pPr>
        <w:numPr>
          <w:ilvl w:val="0"/>
          <w:numId w:val="0"/>
        </w:numPr>
        <w:ind w:left="0" w:firstLine="420"/>
        <w:jc w:val="left"/>
        <w:keepLines w:val="0"/>
        <w:keepNext w:val="0"/>
        <w:pageBreakBefore w:val="0"/>
        <w:spacing w:line="360" w:lineRule="auto"/>
        <w:widowControl w:val="off"/>
        <w:rPr>
          <w:rFonts w:ascii="宋体" w:hAnsi="宋体" w:eastAsia="宋体" w:cs="Times New Roman"/>
          <w:sz w:val="21"/>
          <w:szCs w:val="21"/>
          <w:highlight w:val="none"/>
        </w:rPr>
      </w:pPr>
      <w:r>
        <w:rPr>
          <w:rFonts w:hint="eastAsia" w:ascii="宋体" w:hAnsi="宋体" w:cs="Times New Roman"/>
          <w:sz w:val="21"/>
          <w:szCs w:val="21"/>
          <w:highlight w:val="none"/>
          <w:lang w:val="en-US" w:eastAsia="zh-CN"/>
        </w:rPr>
        <w:t xml:space="preserve">6、</w:t>
      </w:r>
      <w:r>
        <w:rPr>
          <w:rFonts w:ascii="宋体" w:hAnsi="宋体" w:eastAsia="宋体" w:cs="Times New Roman"/>
          <w:sz w:val="21"/>
          <w:szCs w:val="21"/>
          <w:highlight w:val="none"/>
        </w:rPr>
        <w:t xml:space="preserve">遵守国家规定的其他保密。</w:t>
      </w:r>
      <w:r/>
    </w:p>
    <w:p>
      <w:pPr>
        <w:pStyle w:val="954"/>
        <w:ind w:left="0" w:firstLine="0"/>
        <w:pageBreakBefore w:val="0"/>
        <w:spacing w:line="360" w:lineRule="auto"/>
        <w:rPr>
          <w:rFonts w:hint="eastAsia"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六、综合说明</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1</w:t>
      </w:r>
      <w:r>
        <w:rPr>
          <w:rFonts w:hint="eastAsia" w:ascii="宋体" w:hAnsi="宋体"/>
          <w:sz w:val="21"/>
          <w:highlight w:val="none"/>
          <w:lang w:eastAsia="zh-CN"/>
        </w:rPr>
        <w:t xml:space="preserve">、</w:t>
      </w:r>
      <w:r>
        <w:rPr>
          <w:rFonts w:hint="eastAsia" w:ascii="宋体" w:hAnsi="宋体"/>
          <w:sz w:val="21"/>
          <w:highlight w:val="none"/>
          <w:lang w:val="en-US" w:eastAsia="zh-CN"/>
        </w:rPr>
        <w:t xml:space="preserve">供应商</w:t>
      </w:r>
      <w:r>
        <w:rPr>
          <w:rFonts w:hint="eastAsia" w:ascii="宋体" w:hAnsi="宋体"/>
          <w:sz w:val="21"/>
          <w:highlight w:val="none"/>
        </w:rPr>
        <w:t xml:space="preserve">按照</w:t>
      </w:r>
      <w:r>
        <w:rPr>
          <w:rFonts w:hint="eastAsia" w:ascii="宋体" w:hAnsi="宋体"/>
          <w:sz w:val="21"/>
          <w:highlight w:val="none"/>
          <w:lang w:val="en-US" w:eastAsia="zh-CN"/>
        </w:rPr>
        <w:t xml:space="preserve">招标</w:t>
      </w:r>
      <w:r>
        <w:rPr>
          <w:rFonts w:hint="eastAsia" w:ascii="宋体" w:hAnsi="宋体"/>
          <w:sz w:val="21"/>
          <w:highlight w:val="none"/>
        </w:rPr>
        <w:t xml:space="preserve">文件的要求提交投标文件，并对所提供的全部资料的真实性承担法律责任。</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lang w:val="en-US" w:eastAsia="zh-CN"/>
        </w:rPr>
        <w:t xml:space="preserve">2</w:t>
      </w:r>
      <w:r>
        <w:rPr>
          <w:rFonts w:hint="eastAsia" w:ascii="宋体" w:hAnsi="宋体"/>
          <w:sz w:val="21"/>
          <w:highlight w:val="none"/>
          <w:lang w:eastAsia="zh-CN"/>
        </w:rPr>
        <w:t xml:space="preserve">、</w:t>
      </w:r>
      <w:r>
        <w:rPr>
          <w:rFonts w:hint="eastAsia" w:ascii="宋体" w:hAnsi="宋体"/>
          <w:sz w:val="21"/>
          <w:highlight w:val="none"/>
        </w:rPr>
        <w:t xml:space="preserve">中标单位将根据</w:t>
      </w:r>
      <w:r>
        <w:rPr>
          <w:rFonts w:hint="eastAsia" w:ascii="宋体" w:hAnsi="宋体"/>
          <w:sz w:val="21"/>
          <w:highlight w:val="none"/>
          <w:lang w:val="en-US" w:eastAsia="zh-CN"/>
        </w:rPr>
        <w:t xml:space="preserve">招标</w:t>
      </w:r>
      <w:r>
        <w:rPr>
          <w:rFonts w:hint="eastAsia" w:ascii="宋体" w:hAnsi="宋体"/>
          <w:sz w:val="21"/>
          <w:highlight w:val="none"/>
        </w:rPr>
        <w:t xml:space="preserve">文件、投标文件的相关约定，承担合同责任，履行合同义务。</w:t>
      </w:r>
      <w:r/>
    </w:p>
    <w:p>
      <w:pPr>
        <w:pStyle w:val="954"/>
        <w:pageBreakBefore w:val="0"/>
        <w:spacing w:line="360" w:lineRule="auto"/>
        <w:rPr>
          <w:rFonts w:hint="eastAsia" w:ascii="宋体" w:hAnsi="宋体"/>
          <w:sz w:val="21"/>
          <w:highlight w:val="none"/>
        </w:rPr>
      </w:pPr>
      <w:r>
        <w:rPr>
          <w:rFonts w:hint="eastAsia" w:ascii="宋体" w:hAnsi="宋体"/>
          <w:sz w:val="21"/>
          <w:highlight w:val="none"/>
          <w:lang w:val="en-US" w:eastAsia="zh-CN"/>
        </w:rPr>
        <w:t xml:space="preserve">3</w:t>
      </w:r>
      <w:r>
        <w:rPr>
          <w:rFonts w:hint="eastAsia" w:ascii="宋体" w:hAnsi="宋体"/>
          <w:sz w:val="21"/>
          <w:highlight w:val="none"/>
          <w:lang w:eastAsia="zh-CN"/>
        </w:rPr>
        <w:t xml:space="preserve">、</w:t>
      </w:r>
      <w:r>
        <w:rPr>
          <w:rFonts w:hint="eastAsia" w:ascii="宋体" w:hAnsi="宋体"/>
          <w:sz w:val="21"/>
          <w:highlight w:val="none"/>
        </w:rPr>
        <w:t xml:space="preserve">投标人应保证在本项目使用的任何产品（包括部分使用）时，不会产生因第三方提出侵犯其专利权、商标权或</w:t>
      </w:r>
      <w:r>
        <w:rPr>
          <w:rFonts w:hint="eastAsia" w:ascii="宋体" w:hAnsi="宋体"/>
          <w:sz w:val="21"/>
          <w:highlight w:val="none"/>
          <w:lang w:eastAsia="zh-CN"/>
        </w:rPr>
        <w:t xml:space="preserve">其他</w:t>
      </w:r>
      <w:r>
        <w:rPr>
          <w:rFonts w:hint="eastAsia" w:ascii="宋体" w:hAnsi="宋体"/>
          <w:sz w:val="21"/>
          <w:highlight w:val="none"/>
        </w:rPr>
        <w:t xml:space="preserve">知识产权而引起的法律和经济纠纷，如因专利权、商标权或</w:t>
      </w:r>
      <w:r>
        <w:rPr>
          <w:rFonts w:hint="eastAsia" w:ascii="宋体" w:hAnsi="宋体"/>
          <w:sz w:val="21"/>
          <w:highlight w:val="none"/>
          <w:lang w:eastAsia="zh-CN"/>
        </w:rPr>
        <w:t xml:space="preserve">其他</w:t>
      </w:r>
      <w:r>
        <w:rPr>
          <w:rFonts w:hint="eastAsia" w:ascii="宋体" w:hAnsi="宋体"/>
          <w:sz w:val="21"/>
          <w:highlight w:val="none"/>
        </w:rPr>
        <w:t xml:space="preserve">知识产权而引起法律和经济纠纷，由投标人承担所有相关责任。</w:t>
      </w:r>
      <w:r/>
    </w:p>
    <w:p>
      <w:pPr>
        <w:pStyle w:val="954"/>
        <w:pageBreakBefore w:val="0"/>
        <w:spacing w:line="360" w:lineRule="auto"/>
        <w:rPr>
          <w:rFonts w:hint="eastAsia" w:ascii="黑体" w:eastAsia="黑体"/>
          <w:bCs/>
          <w:color w:val="000000"/>
          <w:sz w:val="44"/>
          <w:szCs w:val="28"/>
          <w:highlight w:val="none"/>
        </w:rPr>
      </w:pPr>
      <w:r>
        <w:rPr>
          <w:rFonts w:hint="eastAsia" w:ascii="宋体" w:hAnsi="宋体"/>
          <w:b/>
          <w:bCs/>
          <w:sz w:val="24"/>
          <w:szCs w:val="24"/>
          <w:highlight w:val="none"/>
          <w:lang w:val="en-US" w:eastAsia="zh-CN"/>
        </w:rPr>
        <w:t xml:space="preserve">4、除附加功能外，本章内容不允许负偏离，否则视为无效投标。</w:t>
      </w:r>
      <w:bookmarkStart w:id="279" w:name="_Toc21439"/>
      <w:r/>
      <w:bookmarkStart w:id="280" w:name="_Toc29666"/>
      <w:r/>
      <w:bookmarkStart w:id="281" w:name="_Toc120614281"/>
      <w:r>
        <w:rPr>
          <w:rFonts w:hint="eastAsia" w:ascii="黑体" w:eastAsia="黑体"/>
          <w:bCs/>
          <w:color w:val="000000"/>
          <w:sz w:val="44"/>
          <w:szCs w:val="28"/>
          <w:highlight w:val="none"/>
        </w:rPr>
        <w:br w:type="page" w:clear="all"/>
      </w:r>
      <w:r/>
    </w:p>
    <w:p>
      <w:pPr>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bookmarkEnd w:id="279"/>
      <w:r/>
      <w:bookmarkEnd w:id="280"/>
      <w:r/>
      <w:r/>
    </w:p>
    <w:p>
      <w:pPr>
        <w:keepLines w:val="0"/>
        <w:keepNext w:val="0"/>
        <w:pageBreakBefore w:val="0"/>
        <w:spacing w:line="360" w:lineRule="exact"/>
        <w:widowControl w:val="off"/>
        <w:rPr>
          <w:rFonts w:hint="eastAsia"/>
          <w:b/>
          <w:bCs/>
          <w:color w:val="000000"/>
          <w:szCs w:val="21"/>
          <w:highlight w:val="none"/>
        </w:rPr>
      </w:pPr>
      <w:r>
        <w:rPr>
          <w:rFonts w:hint="eastAsia"/>
          <w:b/>
          <w:bCs/>
          <w:color w:val="000000"/>
          <w:szCs w:val="21"/>
          <w:highlight w:val="none"/>
        </w:rPr>
        <w:t xml:space="preserve">一、评标方法</w:t>
      </w:r>
      <w:r/>
    </w:p>
    <w:p>
      <w:pPr>
        <w:ind w:firstLine="420"/>
        <w:jc w:val="left"/>
        <w:keepLines w:val="0"/>
        <w:keepNext w:val="0"/>
        <w:pageBreakBefore w:val="0"/>
        <w:spacing w:line="360" w:lineRule="exact"/>
        <w:widowControl w:val="off"/>
        <w:rPr>
          <w:rFonts w:hint="eastAsia" w:ascii="宋体" w:hAnsi="宋体" w:eastAsia="宋体" w:cs="宋体"/>
          <w:bCs/>
          <w:color w:val="000000"/>
          <w:spacing w:val="0"/>
          <w:sz w:val="21"/>
          <w:szCs w:val="21"/>
          <w:highlight w:val="none"/>
        </w:rPr>
      </w:pPr>
      <w:r>
        <w:rPr>
          <w:rFonts w:hint="eastAsia" w:ascii="宋体" w:hAnsi="宋体" w:eastAsia="宋体" w:cs="宋体"/>
          <w:color w:val="000000"/>
          <w:spacing w:val="0"/>
          <w:sz w:val="21"/>
          <w:szCs w:val="21"/>
          <w:highlight w:val="none"/>
          <w:lang w:val="en-US" w:eastAsia="zh-CN"/>
        </w:rPr>
        <w:t xml:space="preserve">本项目</w:t>
      </w:r>
      <w:r>
        <w:rPr>
          <w:rFonts w:hint="eastAsia" w:ascii="宋体" w:hAnsi="宋体" w:eastAsia="宋体" w:cs="宋体"/>
          <w:color w:val="000000"/>
          <w:spacing w:val="0"/>
          <w:sz w:val="21"/>
          <w:szCs w:val="21"/>
          <w:highlight w:val="none"/>
        </w:rPr>
        <w:t xml:space="preserve">采用综合评分法的，</w:t>
      </w:r>
      <w:r>
        <w:rPr>
          <w:rFonts w:hint="eastAsia" w:ascii="宋体" w:hAnsi="宋体" w:eastAsia="宋体" w:cs="宋体"/>
          <w:color w:val="000000"/>
          <w:spacing w:val="0"/>
          <w:sz w:val="21"/>
          <w:szCs w:val="21"/>
          <w:highlight w:val="none"/>
          <w:lang w:val="en-US" w:eastAsia="zh-CN"/>
        </w:rPr>
        <w:t xml:space="preserve">即</w:t>
      </w:r>
      <w:r>
        <w:rPr>
          <w:rFonts w:hint="eastAsia" w:ascii="宋体" w:hAnsi="宋体" w:eastAsia="宋体" w:cs="宋体"/>
          <w:color w:val="000000"/>
          <w:spacing w:val="0"/>
          <w:sz w:val="21"/>
          <w:szCs w:val="21"/>
          <w:highlight w:val="none"/>
        </w:rPr>
        <w:t xml:space="preserve">投标文件满足招标文件全部实质性要求，</w:t>
      </w:r>
      <w:r>
        <w:rPr>
          <w:rFonts w:hint="eastAsia" w:ascii="宋体" w:hAnsi="宋体" w:eastAsia="宋体" w:cs="宋体"/>
          <w:color w:val="000000"/>
          <w:spacing w:val="0"/>
          <w:sz w:val="21"/>
          <w:szCs w:val="21"/>
          <w:highlight w:val="none"/>
          <w:lang w:val="en-US" w:eastAsia="zh-CN"/>
        </w:rPr>
        <w:t xml:space="preserve">评标委员会根据招标文件规定的评标方法与评标标准</w:t>
      </w:r>
      <w:r>
        <w:rPr>
          <w:rFonts w:hint="eastAsia" w:ascii="宋体" w:hAnsi="宋体" w:eastAsia="宋体" w:cs="宋体"/>
          <w:color w:val="000000"/>
          <w:spacing w:val="0"/>
          <w:sz w:val="21"/>
          <w:szCs w:val="21"/>
          <w:highlight w:val="none"/>
        </w:rPr>
        <w:t xml:space="preserve">评审后</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按照评审因素的量化指标评审</w:t>
      </w:r>
      <w:r>
        <w:rPr>
          <w:rFonts w:hint="eastAsia" w:ascii="宋体" w:hAnsi="宋体" w:eastAsia="宋体" w:cs="宋体"/>
          <w:color w:val="000000"/>
          <w:spacing w:val="0"/>
          <w:sz w:val="21"/>
          <w:szCs w:val="21"/>
          <w:highlight w:val="none"/>
          <w:lang w:val="en-US" w:eastAsia="zh-CN"/>
        </w:rPr>
        <w:t xml:space="preserve">综合后，根据综合评审</w:t>
      </w:r>
      <w:r>
        <w:rPr>
          <w:rFonts w:hint="eastAsia" w:ascii="宋体" w:hAnsi="宋体" w:eastAsia="宋体" w:cs="宋体"/>
          <w:color w:val="000000"/>
          <w:spacing w:val="0"/>
          <w:sz w:val="21"/>
          <w:szCs w:val="21"/>
          <w:highlight w:val="none"/>
        </w:rPr>
        <w:t xml:space="preserve">得分由高到低顺序</w:t>
      </w:r>
      <w:r>
        <w:rPr>
          <w:rFonts w:hint="eastAsia" w:ascii="宋体" w:hAnsi="宋体" w:eastAsia="宋体" w:cs="宋体"/>
          <w:color w:val="000000"/>
          <w:spacing w:val="0"/>
          <w:sz w:val="21"/>
          <w:szCs w:val="21"/>
          <w:highlight w:val="none"/>
          <w:lang w:val="en-US" w:eastAsia="zh-CN"/>
        </w:rPr>
        <w:t xml:space="preserve">向采购人推荐不超过3名中标候选人</w:t>
      </w:r>
      <w:r>
        <w:rPr>
          <w:rFonts w:hint="eastAsia" w:ascii="宋体" w:hAnsi="宋体" w:eastAsia="宋体" w:cs="宋体"/>
          <w:color w:val="000000"/>
          <w:spacing w:val="0"/>
          <w:sz w:val="21"/>
          <w:szCs w:val="21"/>
          <w:highlight w:val="none"/>
        </w:rPr>
        <w:t xml:space="preserve">。得分相同的，按投标报价由低到高顺序排列。得分且投标报价相同</w:t>
      </w:r>
      <w:r>
        <w:rPr>
          <w:rFonts w:hint="eastAsia" w:ascii="宋体" w:hAnsi="宋体" w:eastAsia="宋体" w:cs="宋体"/>
          <w:color w:val="000000"/>
          <w:spacing w:val="0"/>
          <w:sz w:val="21"/>
          <w:szCs w:val="21"/>
          <w:highlight w:val="none"/>
          <w:lang w:val="en-US" w:eastAsia="zh-CN"/>
        </w:rPr>
        <w:t xml:space="preserve">时，</w:t>
      </w:r>
      <w:r>
        <w:rPr>
          <w:rFonts w:hint="eastAsia" w:ascii="宋体" w:hAnsi="宋体" w:eastAsia="宋体" w:cs="宋体"/>
          <w:bCs/>
          <w:color w:val="000000"/>
          <w:spacing w:val="0"/>
          <w:sz w:val="21"/>
          <w:szCs w:val="21"/>
          <w:highlight w:val="none"/>
        </w:rPr>
        <w:t xml:space="preserve">由采购人确定。</w:t>
      </w:r>
      <w:r/>
    </w:p>
    <w:p>
      <w:pPr>
        <w:pStyle w:val="1038"/>
        <w:ind w:left="0" w:firstLine="0"/>
        <w:jc w:val="both"/>
        <w:keepLines w:val="0"/>
        <w:keepNext w:val="0"/>
        <w:pageBreakBefore w:val="0"/>
        <w:spacing w:before="0" w:after="0" w:line="360" w:lineRule="exact"/>
        <w:widowControl w:val="off"/>
        <w:rPr>
          <w:rFonts w:hint="eastAsia" w:ascii="宋体" w:hAnsi="宋体"/>
          <w:b/>
          <w:bCs/>
          <w:sz w:val="21"/>
          <w:szCs w:val="21"/>
          <w:highlight w:val="none"/>
        </w:rPr>
      </w:pPr>
      <w:r>
        <w:rPr>
          <w:rFonts w:hint="eastAsia" w:ascii="宋体" w:hAnsi="宋体"/>
          <w:b/>
          <w:bCs/>
          <w:sz w:val="21"/>
          <w:szCs w:val="21"/>
          <w:highlight w:val="none"/>
        </w:rPr>
        <w:t xml:space="preserve">二、政府采购政策功能落实</w:t>
      </w:r>
      <w:r/>
    </w:p>
    <w:p>
      <w:pPr>
        <w:pStyle w:val="1038"/>
        <w:ind w:firstLine="420"/>
        <w:jc w:val="both"/>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38"/>
        <w:ind w:firstLine="420"/>
        <w:jc w:val="both"/>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1、小微型企业价格扣除</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（1）本项目对小型和微型企业产品给予10%的扣除价格，用扣除后的价格参与评审。</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（2）供应商需按照采购文件的要求提供相应的《中小企业声明函》。</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2、残疾人福利单位价格扣除</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（1）本项目对残疾人福利性单位视同小型、微型企业，给予10%的价格扣除，用扣除后的价格参与评审。</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（2）残疾人福利单位需按照采购文件的要求提供《残疾人福利性单位声明函》。</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（3）残疾人福利单位标准请参照《关于促进残疾人就业政府采购政策的通知》（财库2017〕141号）。</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3、监狱和戒毒企业价格扣除</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（1）本项目对监狱和戒毒企业（简称监狱企业）视同小型、微型企业，给予10%的价格扣除，用扣除后的价格参与评审。</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（3）监狱企业标准请参照《关于政府采购支持监狱企业发展有关问题的通知》（财库[2014]68号）。</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4、残疾人福利单位、监狱企业属于小型、微型企业的，不重复享受政策。</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6、联合体各方均为小型、微型企业（残疾人福利单位、监狱企业）的，联合体享受10%价格扣除，用扣除后的价格参与评审。</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7、大中型企业向小型、微型企业分包的，分包意向协议约定小型、微型企业合同份额占到合同总金额30%以上的，给予6%的价格扣除，用扣除后的价格参与评审。</w:t>
      </w:r>
      <w:r/>
    </w:p>
    <w:p>
      <w:pPr>
        <w:pStyle w:val="1038"/>
        <w:ind w:firstLine="420"/>
        <w:keepLines w:val="0"/>
        <w:keepNext w:val="0"/>
        <w:pageBreakBefore w:val="0"/>
        <w:spacing w:before="0" w:after="0"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8、采购本国产品的支持政策</w:t>
      </w:r>
      <w:r/>
    </w:p>
    <w:p>
      <w:pPr>
        <w:pStyle w:val="1038"/>
        <w:ind w:firstLine="420"/>
        <w:keepLines w:val="0"/>
        <w:keepNext w:val="0"/>
        <w:pageBreakBefore w:val="0"/>
        <w:spacing w:before="0" w:after="0" w:line="36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8.1 本项目政府采购活动中既有本国产品又有非本国产品参与竞争的，依法对本国产品给予价格评审优惠，对本国产品的报价给予 20%的价格扣除，用扣</w:t>
      </w:r>
      <w:r>
        <w:rPr>
          <w:rFonts w:hint="eastAsia" w:ascii="宋体" w:hAnsi="宋体" w:eastAsia="宋体" w:cs="宋体"/>
          <w:color w:val="auto"/>
          <w:spacing w:val="0"/>
          <w:sz w:val="21"/>
          <w:szCs w:val="21"/>
          <w:highlight w:val="none"/>
          <w:lang w:val="en-US" w:eastAsia="zh-CN" w:bidi="ar-SA"/>
        </w:rPr>
        <w:t xml:space="preserve">除后的价格参与评审。</w:t>
      </w:r>
      <w:r/>
    </w:p>
    <w:p>
      <w:pPr>
        <w:pStyle w:val="1038"/>
        <w:ind w:firstLine="420"/>
        <w:keepLines w:val="0"/>
        <w:keepNext w:val="0"/>
        <w:pageBreakBefore w:val="0"/>
        <w:spacing w:before="0" w:after="0" w:line="36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8"/>
        <w:ind w:firstLine="420"/>
        <w:keepLines w:val="0"/>
        <w:keepNext w:val="0"/>
        <w:pageBreakBefore w:val="0"/>
        <w:spacing w:before="0" w:after="0" w:line="36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8.3 供应商需按照招标文件的要求提供《关于符合本国产品标准的声明函》（以下简称《声明函》），如不提供将不享受本国产品价格评审优惠。</w:t>
      </w:r>
      <w:r/>
    </w:p>
    <w:p>
      <w:pPr>
        <w:pStyle w:val="1038"/>
        <w:ind w:firstLine="420"/>
        <w:keepLines w:val="0"/>
        <w:keepNext w:val="0"/>
        <w:pageBreakBefore w:val="0"/>
        <w:spacing w:before="0" w:after="0" w:line="36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8"/>
        <w:ind w:firstLine="420"/>
        <w:keepLines w:val="0"/>
        <w:keepNext w:val="0"/>
        <w:pageBreakBefore w:val="0"/>
        <w:spacing w:before="0" w:after="0" w:line="360" w:lineRule="exact"/>
        <w:widowControl w:val="off"/>
        <w:rPr>
          <w:rFonts w:hint="eastAsia" w:ascii="宋体" w:hAnsi="宋体" w:cs="宋体"/>
          <w:color w:val="auto"/>
          <w:sz w:val="21"/>
          <w:szCs w:val="21"/>
          <w:highlight w:val="none"/>
        </w:rPr>
      </w:pPr>
      <w:r>
        <w:rPr>
          <w:rFonts w:hint="eastAsia" w:ascii="宋体" w:hAnsi="宋体" w:eastAsia="宋体" w:cs="宋体"/>
          <w:color w:val="auto"/>
          <w:spacing w:val="0"/>
          <w:sz w:val="21"/>
          <w:szCs w:val="21"/>
          <w:highlight w:val="none"/>
          <w:lang w:val="en-US" w:eastAsia="zh-CN" w:bidi="ar-SA"/>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8"/>
        <w:ind w:left="0" w:firstLine="0"/>
        <w:jc w:val="both"/>
        <w:keepLines w:val="0"/>
        <w:keepNext w:val="0"/>
        <w:pageBreakBefore w:val="0"/>
        <w:spacing w:before="0" w:after="0" w:line="360" w:lineRule="exact"/>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rPr>
        <w:t xml:space="preserve">评标方法与评标标准</w:t>
      </w:r>
      <w:r/>
    </w:p>
    <w:tbl>
      <w:tblPr>
        <w:tblStyle w:val="77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381"/>
        <w:gridCol w:w="1258"/>
        <w:gridCol w:w="6294"/>
        <w:gridCol w:w="404"/>
      </w:tblGrid>
      <w:tr>
        <w:trPr>
          <w:jc w:val="center"/>
          <w:trHeight w:val="460"/>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序号</w:t>
            </w:r>
            <w:r/>
          </w:p>
        </w:tc>
        <w:tc>
          <w:tcPr>
            <w:tcMar>
              <w:left w:w="15" w:type="dxa"/>
              <w:top w:w="15" w:type="dxa"/>
              <w:right w:w="15" w:type="dxa"/>
              <w:bottom w:w="0" w:type="dxa"/>
            </w:tcMar>
            <w:tcW w:w="1258"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评审因素</w:t>
            </w:r>
            <w:r/>
          </w:p>
        </w:tc>
        <w:tc>
          <w:tcPr>
            <w:tcMar>
              <w:left w:w="15" w:type="dxa"/>
              <w:top w:w="15" w:type="dxa"/>
              <w:right w:w="15" w:type="dxa"/>
              <w:bottom w:w="0" w:type="dxa"/>
            </w:tcMar>
            <w:tcW w:w="6294"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评分标准说明</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分值</w:t>
            </w:r>
            <w:r/>
          </w:p>
        </w:tc>
      </w:tr>
      <w:tr>
        <w:trPr>
          <w:jc w:val="center"/>
          <w:trHeight w:val="464"/>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一</w:t>
            </w:r>
            <w:r/>
          </w:p>
        </w:tc>
        <w:tc>
          <w:tcPr>
            <w:gridSpan w:val="2"/>
            <w:tcMar>
              <w:left w:w="15" w:type="dxa"/>
              <w:top w:w="15" w:type="dxa"/>
              <w:right w:w="15" w:type="dxa"/>
              <w:bottom w:w="0" w:type="dxa"/>
            </w:tcMar>
            <w:tcW w:w="7552"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投标报价部分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1"/>
                <w:szCs w:val="21"/>
                <w:highlight w:val="none"/>
                <w:lang w:val="en-US" w:eastAsia="zh-CN"/>
              </w:rPr>
            </w:pPr>
            <w:r>
              <w:rPr>
                <w:rFonts w:hint="eastAsia" w:ascii="宋体" w:hAnsi="宋体" w:cs="宋体"/>
                <w:b/>
                <w:color w:val="auto"/>
                <w:spacing w:val="0"/>
                <w:sz w:val="21"/>
                <w:szCs w:val="21"/>
                <w:highlight w:val="none"/>
                <w:lang w:val="en-US" w:eastAsia="zh-CN"/>
              </w:rPr>
              <w:t xml:space="preserve">4</w:t>
            </w:r>
            <w:r>
              <w:rPr>
                <w:rFonts w:hint="eastAsia" w:ascii="宋体" w:hAnsi="宋体" w:eastAsia="宋体" w:cs="宋体"/>
                <w:b/>
                <w:color w:val="auto"/>
                <w:spacing w:val="0"/>
                <w:sz w:val="21"/>
                <w:szCs w:val="21"/>
                <w:highlight w:val="none"/>
                <w:lang w:val="en-US" w:eastAsia="zh-CN"/>
              </w:rPr>
              <w:t xml:space="preserve">0分</w:t>
            </w:r>
            <w:r/>
          </w:p>
        </w:tc>
      </w:tr>
      <w:tr>
        <w:trPr>
          <w:jc w:val="center"/>
          <w:trHeight w:val="1111"/>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w:t>
            </w:r>
            <w:r/>
          </w:p>
        </w:tc>
        <w:tc>
          <w:tcPr>
            <w:tcMar>
              <w:left w:w="15" w:type="dxa"/>
              <w:top w:w="15" w:type="dxa"/>
              <w:right w:w="15" w:type="dxa"/>
              <w:bottom w:w="0" w:type="dxa"/>
            </w:tcMar>
            <w:tcW w:w="125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投标报价</w:t>
            </w:r>
            <w:r/>
          </w:p>
        </w:tc>
        <w:tc>
          <w:tcPr>
            <w:tcMar>
              <w:left w:w="15" w:type="dxa"/>
              <w:top w:w="15" w:type="dxa"/>
              <w:right w:w="15" w:type="dxa"/>
              <w:bottom w:w="0" w:type="dxa"/>
            </w:tcMar>
            <w:tcW w:w="6294" w:type="dxa"/>
            <w:vAlign w:val="center"/>
            <w:textDirection w:val="lrTb"/>
            <w:noWrap w:val="false"/>
          </w:tcPr>
          <w:p>
            <w:pP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资格性审查和符合性审查合格且投标价格最低为评标基准价，其价格分为</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0分。其他供应商的价格分按照下列公式计算：投标报价得分＝（评标基准价/投标报价）×</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0分（小数点后保留两位）。</w:t>
            </w:r>
            <w:r/>
          </w:p>
          <w:p>
            <w:pP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根据《政府采购促进中小企业发展管理办法》（财库【2020】46号）、《江苏省财政厅关于进一步加大政府采购支持中小企业力度的通知》（苏财购【2022】45号）规定，对小型和微型企业的价格给予10%的扣除，扣除后的价格参与评审。</w:t>
            </w:r>
            <w:r/>
          </w:p>
          <w:p>
            <w:pP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注：评审过程中出现下列情形之一的，评审委员会应当启动异常低价投标（响应）审查程序： </w:t>
            </w:r>
            <w:r/>
          </w:p>
          <w:p>
            <w:pP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（1）投标(响应)报价低于全部通过符合性审查供应商投标(响应)报价平均值50%的，即投标(响应)报价＜全部通过符合性审查供应商投标(响应)报价平均值×50%；</w:t>
            </w:r>
            <w:r/>
          </w:p>
          <w:p>
            <w:pP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（2）投标(响应)报价低于通过符合性审查的次低报价供应商投标(响应)报价50%的，即投标(响应)报价＜通过符合性审查的次低报价供应商投标(响应)报价×50%；</w:t>
            </w:r>
            <w:r/>
          </w:p>
          <w:p>
            <w:pP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（3）投标（响应）报价低于采购项目最高限价45%的，即投标（响应）报价＜采购项目最高限价×45% ； </w:t>
            </w:r>
            <w:r/>
          </w:p>
          <w:p>
            <w:pPr>
              <w:keepLines w:val="0"/>
              <w:keepNext w:val="0"/>
              <w:pageBreakBefore w:val="0"/>
              <w:spacing w:line="320" w:lineRule="exact"/>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rPr>
              <w:t xml:space="preserve">（3）评审委员会基于专业判断，认为供应商报价过低、有可能影响产品质量或者不能诚信履约的其他情形。 </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en-US" w:eastAsia="zh-CN"/>
              </w:rPr>
              <w:t xml:space="preserve">0分</w:t>
            </w:r>
            <w:r/>
          </w:p>
        </w:tc>
      </w:tr>
      <w:tr>
        <w:trPr>
          <w:jc w:val="center"/>
          <w:trHeight w:val="509"/>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二</w:t>
            </w:r>
            <w:r/>
          </w:p>
        </w:tc>
        <w:tc>
          <w:tcPr>
            <w:gridSpan w:val="2"/>
            <w:tcMar>
              <w:left w:w="15" w:type="dxa"/>
              <w:top w:w="15" w:type="dxa"/>
              <w:right w:w="15" w:type="dxa"/>
              <w:bottom w:w="0" w:type="dxa"/>
            </w:tcMar>
            <w:tcW w:w="7552"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商务部分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1"/>
                <w:szCs w:val="21"/>
                <w:highlight w:val="none"/>
                <w:lang w:val="en-US" w:eastAsia="zh-CN"/>
              </w:rPr>
            </w:pPr>
            <w:r>
              <w:rPr>
                <w:rFonts w:hint="eastAsia" w:ascii="宋体" w:hAnsi="宋体" w:cs="宋体"/>
                <w:b/>
                <w:color w:val="auto"/>
                <w:spacing w:val="0"/>
                <w:sz w:val="21"/>
                <w:szCs w:val="21"/>
                <w:highlight w:val="none"/>
                <w:lang w:val="en-US" w:eastAsia="zh-CN"/>
              </w:rPr>
              <w:t xml:space="preserve">20</w:t>
            </w:r>
            <w:r>
              <w:rPr>
                <w:rFonts w:hint="eastAsia" w:ascii="宋体" w:hAnsi="宋体" w:eastAsia="宋体" w:cs="宋体"/>
                <w:b/>
                <w:color w:val="auto"/>
                <w:spacing w:val="0"/>
                <w:sz w:val="21"/>
                <w:szCs w:val="21"/>
                <w:highlight w:val="none"/>
                <w:lang w:val="en-US" w:eastAsia="zh-CN"/>
              </w:rPr>
              <w:t xml:space="preserve">分</w:t>
            </w:r>
            <w:r/>
          </w:p>
        </w:tc>
      </w:tr>
      <w:tr>
        <w:trPr>
          <w:jc w:val="center"/>
          <w:trHeight w:val="537"/>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w:t>
            </w:r>
            <w:r/>
          </w:p>
        </w:tc>
        <w:tc>
          <w:tcPr>
            <w:tcMar>
              <w:left w:w="15" w:type="dxa"/>
              <w:top w:w="15" w:type="dxa"/>
              <w:right w:w="15" w:type="dxa"/>
              <w:bottom w:w="0" w:type="dxa"/>
            </w:tcMar>
            <w:tcW w:w="1258" w:type="dxa"/>
            <w:vAlign w:val="center"/>
            <w:textDirection w:val="lrTb"/>
            <w:noWrap w:val="false"/>
          </w:tcPr>
          <w:p>
            <w:pPr>
              <w:jc w:val="center"/>
              <w:keepLines w:val="0"/>
              <w:keepNext w:val="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企业实力</w:t>
            </w:r>
            <w:r/>
          </w:p>
        </w:tc>
        <w:tc>
          <w:tcPr>
            <w:tcMar>
              <w:left w:w="15" w:type="dxa"/>
              <w:top w:w="15" w:type="dxa"/>
              <w:right w:w="15" w:type="dxa"/>
              <w:bottom w:w="0" w:type="dxa"/>
            </w:tcMar>
            <w:tcW w:w="6294" w:type="dxa"/>
            <w:vAlign w:val="center"/>
            <w:textDirection w:val="lrTb"/>
            <w:noWrap w:val="false"/>
          </w:tcPr>
          <w:p>
            <w:pPr>
              <w:jc w:val="left"/>
              <w:keepLines w:val="0"/>
              <w:keepNext w:val="0"/>
              <w:widowControl/>
              <w:rPr>
                <w:rFonts w:hint="eastAsia" w:ascii="宋体" w:hAnsi="宋体" w:eastAsia="宋体" w:cs="宋体"/>
                <w:color w:val="auto"/>
                <w:spacing w:val="0"/>
                <w:sz w:val="21"/>
                <w:szCs w:val="21"/>
                <w:highlight w:val="none"/>
                <w:lang w:val="en-US" w:eastAsia="zh-CN"/>
              </w:rPr>
              <w:suppressLineNumbers w:val="0"/>
            </w:pPr>
            <w:r>
              <w:rPr>
                <w:rStyle w:val="1085"/>
                <w:color w:val="auto"/>
                <w:sz w:val="21"/>
                <w:szCs w:val="21"/>
                <w:highlight w:val="none"/>
                <w:lang w:val="en-US" w:eastAsia="zh-CN" w:bidi="ar"/>
              </w:rPr>
              <w:t xml:space="preserve">1、投标人具有ISO90001质量管理认证证书、ISO14001环境管理体系认证证书、ISO45001职业健康安全管理体系认证证书的，每提供一个得</w:t>
            </w:r>
            <w:r>
              <w:rPr>
                <w:rStyle w:val="1085"/>
                <w:rFonts w:hint="eastAsia"/>
                <w:color w:val="auto"/>
                <w:sz w:val="21"/>
                <w:szCs w:val="21"/>
                <w:highlight w:val="none"/>
                <w:lang w:val="en-US" w:eastAsia="zh-CN" w:bidi="ar"/>
              </w:rPr>
              <w:t xml:space="preserve">1</w:t>
            </w:r>
            <w:r>
              <w:rPr>
                <w:rStyle w:val="1085"/>
                <w:color w:val="auto"/>
                <w:sz w:val="21"/>
                <w:szCs w:val="21"/>
                <w:highlight w:val="none"/>
                <w:lang w:val="en-US" w:eastAsia="zh-CN" w:bidi="ar"/>
              </w:rPr>
              <w:t xml:space="preserve">分，最高得</w:t>
            </w:r>
            <w:r>
              <w:rPr>
                <w:rStyle w:val="1085"/>
                <w:rFonts w:hint="eastAsia"/>
                <w:color w:val="auto"/>
                <w:sz w:val="21"/>
                <w:szCs w:val="21"/>
                <w:highlight w:val="none"/>
                <w:lang w:val="en-US" w:eastAsia="zh-CN" w:bidi="ar"/>
              </w:rPr>
              <w:t xml:space="preserve">3</w:t>
            </w:r>
            <w:r>
              <w:rPr>
                <w:rStyle w:val="1085"/>
                <w:color w:val="auto"/>
                <w:sz w:val="21"/>
                <w:szCs w:val="21"/>
                <w:highlight w:val="none"/>
                <w:lang w:val="en-US" w:eastAsia="zh-CN" w:bidi="ar"/>
              </w:rPr>
              <w:t xml:space="preserve">分。</w:t>
            </w:r>
            <w:r>
              <w:rPr>
                <w:rStyle w:val="1086"/>
                <w:color w:val="auto"/>
                <w:sz w:val="21"/>
                <w:szCs w:val="21"/>
                <w:highlight w:val="none"/>
                <w:lang w:val="en-US" w:eastAsia="zh-CN" w:bidi="ar"/>
              </w:rPr>
              <w:t xml:space="preserve">                                     </w:t>
            </w:r>
            <w:r>
              <w:rPr>
                <w:rStyle w:val="1085"/>
                <w:color w:val="auto"/>
                <w:sz w:val="21"/>
                <w:szCs w:val="21"/>
                <w:highlight w:val="none"/>
                <w:lang w:val="en-US" w:eastAsia="zh-CN" w:bidi="ar"/>
              </w:rPr>
              <w:br/>
            </w:r>
            <w:r>
              <w:rPr>
                <w:rStyle w:val="1085"/>
                <w:color w:val="auto"/>
                <w:sz w:val="21"/>
                <w:szCs w:val="21"/>
                <w:highlight w:val="none"/>
                <w:lang w:val="en-US" w:eastAsia="zh-CN" w:bidi="ar"/>
              </w:rPr>
              <w:t xml:space="preserve">（备注：体系认证证书均必须在有效期内并能够在国家认证认可监督管理委员会网址可查询且查询状态为有效。查询网址：http://cx.cnca.cn/CertECloud/index/index/page，并提供相应证书扫描件上传系统加盖投标人公章，否则不得分，其他证书需提供证书复印件加盖投标人公章，否则不得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3分</w:t>
            </w:r>
            <w:r/>
          </w:p>
        </w:tc>
      </w:tr>
      <w:tr>
        <w:trPr>
          <w:jc w:val="center"/>
          <w:trHeight w:val="271"/>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p>
        </w:tc>
        <w:tc>
          <w:tcPr>
            <w:tcMar>
              <w:left w:w="15" w:type="dxa"/>
              <w:top w:w="15" w:type="dxa"/>
              <w:right w:w="15" w:type="dxa"/>
              <w:bottom w:w="0" w:type="dxa"/>
            </w:tcMar>
            <w:tcW w:w="1258" w:type="dxa"/>
            <w:vAlign w:val="center"/>
            <w:textDirection w:val="lrTb"/>
            <w:noWrap w:val="false"/>
          </w:tcPr>
          <w:p>
            <w:pPr>
              <w:jc w:val="center"/>
              <w:keepLines w:val="0"/>
              <w:keepNext w:val="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项目组成员</w:t>
            </w:r>
            <w:r/>
          </w:p>
        </w:tc>
        <w:tc>
          <w:tcPr>
            <w:tcMar>
              <w:left w:w="15" w:type="dxa"/>
              <w:top w:w="15" w:type="dxa"/>
              <w:right w:w="15" w:type="dxa"/>
              <w:bottom w:w="0" w:type="dxa"/>
            </w:tcMar>
            <w:tcW w:w="6294" w:type="dxa"/>
            <w:vAlign w:val="center"/>
            <w:textDirection w:val="lrTb"/>
            <w:noWrap w:val="false"/>
          </w:tcPr>
          <w:p>
            <w:pPr>
              <w:jc w:val="left"/>
              <w:keepLines w:val="0"/>
              <w:keepNext w:val="0"/>
              <w:widowControl/>
              <w:rPr>
                <w:rFonts w:hint="eastAsia" w:ascii="宋体" w:hAnsi="宋体" w:eastAsia="宋体" w:cs="宋体"/>
                <w:color w:val="auto"/>
                <w:spacing w:val="0"/>
                <w:sz w:val="21"/>
                <w:szCs w:val="21"/>
                <w:highlight w:val="none"/>
                <w:lang w:val="en-US" w:eastAsia="zh-CN"/>
              </w:rPr>
              <w:suppressLineNumbers w:val="0"/>
            </w:pPr>
            <w:r>
              <w:rPr>
                <w:rStyle w:val="1086"/>
                <w:color w:val="auto"/>
                <w:sz w:val="21"/>
                <w:szCs w:val="21"/>
                <w:highlight w:val="none"/>
                <w:lang w:val="en-US" w:eastAsia="zh-CN" w:bidi="ar"/>
              </w:rPr>
              <w:t xml:space="preserve">1、投标人项目负责人具备机电工程专业二级（含）以上注册建造师、网络工程师证书、通信或电子信息类相关专业中级及以上职称的，</w:t>
            </w:r>
            <w:r>
              <w:rPr>
                <w:rStyle w:val="1086"/>
                <w:rFonts w:hint="eastAsia"/>
                <w:color w:val="auto"/>
                <w:sz w:val="21"/>
                <w:szCs w:val="21"/>
                <w:highlight w:val="none"/>
                <w:lang w:val="en-US" w:eastAsia="zh-CN" w:bidi="ar"/>
              </w:rPr>
              <w:t xml:space="preserve">以上三类证书</w:t>
            </w:r>
            <w:r>
              <w:rPr>
                <w:rStyle w:val="1086"/>
                <w:color w:val="auto"/>
                <w:sz w:val="21"/>
                <w:szCs w:val="21"/>
                <w:highlight w:val="none"/>
                <w:lang w:val="en-US" w:eastAsia="zh-CN" w:bidi="ar"/>
              </w:rPr>
              <w:t xml:space="preserve">每提供一类得1分，本项最多得3分，没有的不得分。</w:t>
            </w:r>
            <w:r>
              <w:rPr>
                <w:rStyle w:val="1086"/>
                <w:color w:val="auto"/>
                <w:sz w:val="21"/>
                <w:szCs w:val="21"/>
                <w:highlight w:val="none"/>
                <w:lang w:val="en-US" w:eastAsia="zh-CN" w:bidi="ar"/>
              </w:rPr>
              <w:br/>
            </w:r>
            <w:r>
              <w:rPr>
                <w:rStyle w:val="1086"/>
                <w:color w:val="auto"/>
                <w:sz w:val="21"/>
                <w:szCs w:val="21"/>
                <w:highlight w:val="none"/>
                <w:lang w:val="en-US" w:eastAsia="zh-CN" w:bidi="ar"/>
              </w:rPr>
              <w:t xml:space="preserve">2、投标人项目技术负责人具备通信或电子信息类相关专业中级及以上职称证书、网络工程师证书的，以上两类证书每提供一类得1分，本项最多得2分，没有的不得分。</w:t>
            </w:r>
            <w:r>
              <w:rPr>
                <w:rStyle w:val="1086"/>
                <w:color w:val="auto"/>
                <w:sz w:val="21"/>
                <w:szCs w:val="21"/>
                <w:highlight w:val="none"/>
                <w:lang w:val="en-US" w:eastAsia="zh-CN" w:bidi="ar"/>
              </w:rPr>
              <w:br/>
            </w:r>
            <w:r>
              <w:rPr>
                <w:rStyle w:val="1086"/>
                <w:color w:val="auto"/>
                <w:sz w:val="21"/>
                <w:szCs w:val="21"/>
                <w:highlight w:val="none"/>
                <w:lang w:val="en-US" w:eastAsia="zh-CN" w:bidi="ar"/>
              </w:rPr>
              <w:t xml:space="preserve">3、投标人针对本项目组建的项目团队（不含项目负责人及技术负责人）中具有通信或电子信息类相关专业中级及以上职称的、网络工程师证书、系统集成项目管理师证书的，以上三类证书每提供一类证书的得1分，</w:t>
            </w:r>
            <w:r>
              <w:rPr>
                <w:rStyle w:val="1085"/>
                <w:color w:val="auto"/>
                <w:sz w:val="21"/>
                <w:szCs w:val="21"/>
                <w:highlight w:val="none"/>
                <w:lang w:val="en-US" w:eastAsia="zh-CN" w:bidi="ar"/>
              </w:rPr>
              <w:t xml:space="preserve">同一人仅计取一次，不重复计分。</w:t>
            </w:r>
            <w:r>
              <w:rPr>
                <w:rStyle w:val="1086"/>
                <w:color w:val="auto"/>
                <w:sz w:val="21"/>
                <w:szCs w:val="21"/>
                <w:highlight w:val="none"/>
                <w:lang w:val="en-US" w:eastAsia="zh-CN" w:bidi="ar"/>
              </w:rPr>
              <w:t xml:space="preserve">本项最多得3分，未提供不得分。</w:t>
            </w:r>
            <w:r>
              <w:rPr>
                <w:rStyle w:val="1085"/>
                <w:color w:val="auto"/>
                <w:sz w:val="21"/>
                <w:szCs w:val="21"/>
                <w:highlight w:val="none"/>
                <w:lang w:val="en-US" w:eastAsia="zh-CN" w:bidi="ar"/>
              </w:rPr>
              <w:br/>
            </w:r>
            <w:r>
              <w:rPr>
                <w:rStyle w:val="1085"/>
                <w:color w:val="auto"/>
                <w:sz w:val="21"/>
                <w:szCs w:val="21"/>
                <w:highlight w:val="none"/>
                <w:lang w:val="en-US" w:eastAsia="zh-CN" w:bidi="ar"/>
              </w:rPr>
              <w:t xml:space="preserve">（以上人员不可兼任，需提供材料复印件加盖公章，同时投标人须提供近</w:t>
            </w:r>
            <w:r>
              <w:rPr>
                <w:rStyle w:val="1088"/>
                <w:color w:val="auto"/>
                <w:sz w:val="21"/>
                <w:szCs w:val="21"/>
                <w:highlight w:val="none"/>
                <w:lang w:val="en-US" w:eastAsia="zh-CN" w:bidi="ar"/>
              </w:rPr>
              <w:t xml:space="preserve">三个月中任意一个月本单位为</w:t>
            </w:r>
            <w:r>
              <w:rPr>
                <w:rStyle w:val="1085"/>
                <w:color w:val="auto"/>
                <w:sz w:val="21"/>
                <w:szCs w:val="21"/>
                <w:highlight w:val="none"/>
                <w:lang w:val="en-US" w:eastAsia="zh-CN" w:bidi="ar"/>
              </w:rPr>
              <w:t xml:space="preserve">以上人员社保缴费的证明材料复印件并加盖公章，不提供或提供不全或模糊不清不予计分。）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8分</w:t>
            </w:r>
            <w:r/>
          </w:p>
        </w:tc>
      </w:tr>
      <w:tr>
        <w:trPr>
          <w:jc w:val="center"/>
          <w:trHeight w:val="271"/>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3</w:t>
            </w:r>
            <w:r/>
          </w:p>
        </w:tc>
        <w:tc>
          <w:tcPr>
            <w:tcMar>
              <w:left w:w="15" w:type="dxa"/>
              <w:top w:w="15" w:type="dxa"/>
              <w:right w:w="15" w:type="dxa"/>
              <w:bottom w:w="0" w:type="dxa"/>
            </w:tcMar>
            <w:tcW w:w="1258" w:type="dxa"/>
            <w:vAlign w:val="center"/>
            <w:textDirection w:val="lrTb"/>
            <w:noWrap w:val="false"/>
          </w:tcPr>
          <w:p>
            <w:pPr>
              <w:jc w:val="center"/>
              <w:keepLines w:val="0"/>
              <w:keepNext w:val="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类似业绩</w:t>
            </w:r>
            <w:r/>
          </w:p>
        </w:tc>
        <w:tc>
          <w:tcPr>
            <w:tcMar>
              <w:left w:w="15" w:type="dxa"/>
              <w:top w:w="15" w:type="dxa"/>
              <w:right w:w="15" w:type="dxa"/>
              <w:bottom w:w="0" w:type="dxa"/>
            </w:tcMar>
            <w:tcW w:w="6294" w:type="dxa"/>
            <w:vAlign w:val="center"/>
            <w:textDirection w:val="lrTb"/>
            <w:noWrap w:val="false"/>
          </w:tcPr>
          <w:p>
            <w:pPr>
              <w:jc w:val="left"/>
              <w:keepLines w:val="0"/>
              <w:keepNext w:val="0"/>
              <w:widowControl/>
              <w:rPr>
                <w:rFonts w:hint="eastAsia" w:ascii="宋体" w:hAnsi="宋体" w:eastAsia="宋体" w:cs="宋体"/>
                <w:color w:val="auto"/>
                <w:spacing w:val="0"/>
                <w:sz w:val="21"/>
                <w:szCs w:val="21"/>
                <w:highlight w:val="none"/>
                <w:lang w:val="en-US" w:eastAsia="zh-CN"/>
              </w:rPr>
              <w:suppressLineNumbers w:val="0"/>
            </w:pPr>
            <w:r>
              <w:rPr>
                <w:rStyle w:val="1085"/>
                <w:color w:val="auto"/>
                <w:sz w:val="21"/>
                <w:szCs w:val="21"/>
                <w:highlight w:val="none"/>
                <w:lang w:val="en-US" w:eastAsia="zh-CN" w:bidi="ar"/>
              </w:rPr>
              <w:t xml:space="preserve">自2023年1月1日以来</w:t>
            </w:r>
            <w:r>
              <w:rPr>
                <w:rStyle w:val="1086"/>
                <w:color w:val="auto"/>
                <w:sz w:val="21"/>
                <w:szCs w:val="21"/>
                <w:highlight w:val="none"/>
                <w:lang w:val="en-US" w:eastAsia="zh-CN" w:bidi="ar"/>
              </w:rPr>
              <w:t xml:space="preserve">（以验收合格时间为准）</w:t>
            </w:r>
            <w:r>
              <w:rPr>
                <w:rStyle w:val="1085"/>
                <w:color w:val="auto"/>
                <w:sz w:val="21"/>
                <w:szCs w:val="21"/>
                <w:highlight w:val="none"/>
                <w:lang w:val="en-US" w:eastAsia="zh-CN" w:bidi="ar"/>
              </w:rPr>
              <w:t xml:space="preserve">投标人具有类似高空监控安装</w:t>
            </w:r>
            <w:r>
              <w:rPr>
                <w:rStyle w:val="1085"/>
                <w:strike w:val="0"/>
                <w:color w:val="auto"/>
                <w:sz w:val="21"/>
                <w:szCs w:val="21"/>
                <w:highlight w:val="none"/>
                <w:lang w:val="en-US" w:eastAsia="zh-CN" w:bidi="ar"/>
              </w:rPr>
              <w:t xml:space="preserve">或</w:t>
            </w:r>
            <w:r>
              <w:rPr>
                <w:rStyle w:val="1085"/>
                <w:color w:val="auto"/>
                <w:sz w:val="21"/>
                <w:szCs w:val="21"/>
                <w:highlight w:val="none"/>
                <w:lang w:val="en-US" w:eastAsia="zh-CN" w:bidi="ar"/>
              </w:rPr>
              <w:t xml:space="preserve">监控集成项目案例的，有一个得</w:t>
            </w:r>
            <w:r>
              <w:rPr>
                <w:rStyle w:val="1085"/>
                <w:rFonts w:hint="eastAsia"/>
                <w:color w:val="auto"/>
                <w:sz w:val="21"/>
                <w:szCs w:val="21"/>
                <w:highlight w:val="none"/>
                <w:lang w:val="en-US" w:eastAsia="zh-CN" w:bidi="ar"/>
              </w:rPr>
              <w:t xml:space="preserve">3</w:t>
            </w:r>
            <w:r>
              <w:rPr>
                <w:rStyle w:val="1085"/>
                <w:color w:val="auto"/>
                <w:sz w:val="21"/>
                <w:szCs w:val="21"/>
                <w:highlight w:val="none"/>
                <w:lang w:val="en-US" w:eastAsia="zh-CN" w:bidi="ar"/>
              </w:rPr>
              <w:t xml:space="preserve">分，最高得</w:t>
            </w:r>
            <w:r>
              <w:rPr>
                <w:rStyle w:val="1085"/>
                <w:rFonts w:hint="eastAsia"/>
                <w:color w:val="auto"/>
                <w:sz w:val="21"/>
                <w:szCs w:val="21"/>
                <w:highlight w:val="none"/>
                <w:lang w:val="en-US" w:eastAsia="zh-CN" w:bidi="ar"/>
              </w:rPr>
              <w:t xml:space="preserve">9</w:t>
            </w:r>
            <w:r>
              <w:rPr>
                <w:rStyle w:val="1085"/>
                <w:color w:val="auto"/>
                <w:sz w:val="21"/>
                <w:szCs w:val="21"/>
                <w:highlight w:val="none"/>
                <w:lang w:val="en-US" w:eastAsia="zh-CN" w:bidi="ar"/>
              </w:rPr>
              <w:t xml:space="preserve">分。</w:t>
            </w:r>
            <w:r>
              <w:rPr>
                <w:rStyle w:val="1085"/>
                <w:color w:val="auto"/>
                <w:sz w:val="21"/>
                <w:szCs w:val="21"/>
                <w:highlight w:val="none"/>
                <w:lang w:val="en-US" w:eastAsia="zh-CN" w:bidi="ar"/>
              </w:rPr>
              <w:br/>
            </w:r>
            <w:r>
              <w:rPr>
                <w:rStyle w:val="1085"/>
                <w:color w:val="auto"/>
                <w:sz w:val="21"/>
                <w:szCs w:val="21"/>
                <w:highlight w:val="none"/>
                <w:lang w:val="en-US" w:eastAsia="zh-CN" w:bidi="ar"/>
              </w:rPr>
              <w:t xml:space="preserve">（投标人需提供</w:t>
            </w:r>
            <w:r>
              <w:rPr>
                <w:rStyle w:val="1088"/>
                <w:color w:val="auto"/>
                <w:sz w:val="21"/>
                <w:szCs w:val="21"/>
                <w:highlight w:val="none"/>
                <w:lang w:val="en-US" w:eastAsia="zh-CN" w:bidi="ar"/>
              </w:rPr>
              <w:t xml:space="preserve">合同复印材料、验收合格证明加盖投标人公章，否则不得分，合同内容无法体现相关服务内容，需提供证明材料，包括但不限于预算清单、业主证明材料等。）</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9分</w:t>
            </w:r>
            <w:r/>
          </w:p>
        </w:tc>
      </w:tr>
      <w:tr>
        <w:trPr>
          <w:jc w:val="center"/>
          <w:trHeight w:val="567"/>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三</w:t>
            </w:r>
            <w:r/>
          </w:p>
        </w:tc>
        <w:tc>
          <w:tcPr>
            <w:gridSpan w:val="2"/>
            <w:tcMar>
              <w:left w:w="15" w:type="dxa"/>
              <w:top w:w="15" w:type="dxa"/>
              <w:right w:w="15" w:type="dxa"/>
              <w:bottom w:w="0" w:type="dxa"/>
            </w:tcMar>
            <w:tcW w:w="755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技术部分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1"/>
                <w:szCs w:val="21"/>
                <w:highlight w:val="none"/>
                <w:lang w:val="en-US" w:eastAsia="zh-CN"/>
              </w:rPr>
            </w:pPr>
            <w:r>
              <w:rPr>
                <w:rFonts w:hint="eastAsia" w:ascii="宋体" w:hAnsi="宋体" w:cs="宋体"/>
                <w:b/>
                <w:color w:val="auto"/>
                <w:spacing w:val="0"/>
                <w:sz w:val="21"/>
                <w:szCs w:val="21"/>
                <w:highlight w:val="none"/>
                <w:lang w:val="en-US" w:eastAsia="zh-CN"/>
              </w:rPr>
              <w:t xml:space="preserve">40</w:t>
            </w:r>
            <w:r>
              <w:rPr>
                <w:rFonts w:hint="eastAsia" w:ascii="宋体" w:hAnsi="宋体" w:eastAsia="宋体" w:cs="宋体"/>
                <w:b/>
                <w:color w:val="auto"/>
                <w:spacing w:val="0"/>
                <w:sz w:val="21"/>
                <w:szCs w:val="21"/>
                <w:highlight w:val="none"/>
                <w:lang w:val="en-US" w:eastAsia="zh-CN"/>
              </w:rPr>
              <w:t xml:space="preserve">分</w:t>
            </w:r>
            <w:r/>
          </w:p>
        </w:tc>
      </w:tr>
      <w:tr>
        <w:trPr>
          <w:jc w:val="center"/>
          <w:trHeight w:val="145"/>
        </w:trPr>
        <w:tc>
          <w:tcPr>
            <w:tcMar>
              <w:left w:w="15" w:type="dxa"/>
              <w:top w:w="15" w:type="dxa"/>
              <w:right w:w="15" w:type="dxa"/>
              <w:bottom w:w="0" w:type="dxa"/>
            </w:tcMar>
            <w:tcW w:w="381" w:type="dxa"/>
            <w:vAlign w:val="center"/>
            <w:textDirection w:val="lrTb"/>
            <w:noWrap w:val="false"/>
          </w:tcPr>
          <w:p>
            <w:pPr>
              <w:ind w:left="0" w:right="0"/>
              <w:jc w:val="center"/>
              <w:keepLines w:val="0"/>
              <w:keepNext w:val="0"/>
              <w:pageBreakBefore w:val="0"/>
              <w:spacing w:line="320" w:lineRule="exact"/>
              <w:widowControl w:val="off"/>
              <w:rPr>
                <w:rFonts w:hint="default"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w:t>
            </w:r>
            <w:r/>
          </w:p>
        </w:tc>
        <w:tc>
          <w:tcPr>
            <w:tcMar>
              <w:left w:w="15" w:type="dxa"/>
              <w:top w:w="15" w:type="dxa"/>
              <w:right w:w="15" w:type="dxa"/>
              <w:bottom w:w="0" w:type="dxa"/>
            </w:tcMar>
            <w:tcW w:w="1258"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c>
          <w:tcPr>
            <w:tcMar>
              <w:left w:w="15" w:type="dxa"/>
              <w:top w:w="15" w:type="dxa"/>
              <w:right w:w="15" w:type="dxa"/>
              <w:bottom w:w="0" w:type="dxa"/>
            </w:tcMar>
            <w:tcW w:w="629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投标人所投产品的技术参数与招标文件要求比较，</w:t>
            </w:r>
            <w:r>
              <w:rPr>
                <w:rFonts w:hint="eastAsia" w:ascii="宋体" w:hAnsi="宋体" w:cs="宋体"/>
                <w:i w:val="0"/>
                <w:iCs w:val="0"/>
                <w:color w:val="auto"/>
                <w:sz w:val="21"/>
                <w:szCs w:val="21"/>
                <w:highlight w:val="none"/>
                <w:u w:val="none"/>
                <w:lang w:val="en-US" w:eastAsia="zh-CN" w:bidi="ar"/>
              </w:rPr>
              <w:t xml:space="preserve">附加功能</w:t>
            </w:r>
            <w:r>
              <w:rPr>
                <w:rFonts w:hint="eastAsia" w:ascii="宋体" w:hAnsi="宋体" w:eastAsia="宋体" w:cs="宋体"/>
                <w:i w:val="0"/>
                <w:iCs w:val="0"/>
                <w:color w:val="auto"/>
                <w:sz w:val="21"/>
                <w:szCs w:val="21"/>
                <w:highlight w:val="none"/>
                <w:u w:val="none"/>
                <w:lang w:val="en-US" w:eastAsia="zh-CN" w:bidi="ar"/>
              </w:rPr>
              <w:t xml:space="preserve">每有一项</w:t>
            </w:r>
            <w:r>
              <w:rPr>
                <w:rFonts w:hint="eastAsia" w:ascii="宋体" w:hAnsi="宋体" w:cs="宋体"/>
                <w:i w:val="0"/>
                <w:iCs w:val="0"/>
                <w:color w:val="auto"/>
                <w:sz w:val="21"/>
                <w:szCs w:val="21"/>
                <w:highlight w:val="none"/>
                <w:u w:val="none"/>
                <w:lang w:val="en-US" w:eastAsia="zh-CN" w:bidi="ar"/>
              </w:rPr>
              <w:t xml:space="preserve">满足或优于的得2分，最高得20分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b w:val="0"/>
                <w:bCs w:val="0"/>
                <w:color w:val="auto"/>
                <w:sz w:val="21"/>
                <w:szCs w:val="21"/>
                <w:highlight w:val="none"/>
                <w:lang w:val="en-US" w:eastAsia="zh-CN"/>
              </w:rPr>
              <w:t xml:space="preserve">附加功能</w:t>
            </w:r>
            <w:r>
              <w:rPr>
                <w:rFonts w:hint="eastAsia" w:ascii="宋体" w:hAnsi="宋体" w:eastAsia="宋体" w:cs="宋体"/>
                <w:i w:val="0"/>
                <w:iCs w:val="0"/>
                <w:color w:val="auto"/>
                <w:sz w:val="21"/>
                <w:szCs w:val="21"/>
                <w:highlight w:val="none"/>
                <w:u w:val="none"/>
                <w:lang w:val="en-US" w:eastAsia="zh-CN" w:bidi="ar"/>
              </w:rPr>
              <w:t xml:space="preserve">均需提供相关证明材料并加盖投标人公章，如未按要求提供证明材料的，</w:t>
            </w:r>
            <w:r>
              <w:rPr>
                <w:rFonts w:hint="eastAsia" w:ascii="宋体" w:hAnsi="宋体" w:cs="宋体"/>
                <w:i w:val="0"/>
                <w:iCs w:val="0"/>
                <w:color w:val="auto"/>
                <w:sz w:val="21"/>
                <w:szCs w:val="21"/>
                <w:highlight w:val="none"/>
                <w:u w:val="none"/>
                <w:lang w:val="en-US" w:eastAsia="zh-CN" w:bidi="ar"/>
              </w:rPr>
              <w:t xml:space="preserve">则不得分</w:t>
            </w:r>
            <w:r>
              <w:rPr>
                <w:rFonts w:hint="eastAsia" w:ascii="宋体" w:hAnsi="宋体" w:eastAsia="宋体" w:cs="宋体"/>
                <w:i w:val="0"/>
                <w:iCs w:val="0"/>
                <w:color w:val="auto"/>
                <w:sz w:val="21"/>
                <w:szCs w:val="21"/>
                <w:highlight w:val="none"/>
                <w:u w:val="none"/>
                <w:lang w:val="en-US" w:eastAsia="zh-CN" w:bidi="ar"/>
              </w:rPr>
              <w:t xml:space="preserve">。</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eastAsia" w:ascii="宋体" w:hAnsi="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20分</w:t>
            </w:r>
            <w:r/>
          </w:p>
        </w:tc>
      </w:tr>
      <w:tr>
        <w:trPr>
          <w:jc w:val="center"/>
          <w:trHeight w:val="145"/>
        </w:trPr>
        <w:tc>
          <w:tcPr>
            <w:tcMar>
              <w:left w:w="15" w:type="dxa"/>
              <w:top w:w="15" w:type="dxa"/>
              <w:right w:w="15" w:type="dxa"/>
              <w:bottom w:w="0" w:type="dxa"/>
            </w:tcMar>
            <w:tcW w:w="381" w:type="dxa"/>
            <w:vAlign w:val="center"/>
            <w:textDirection w:val="lrTb"/>
            <w:noWrap w:val="false"/>
          </w:tcPr>
          <w:p>
            <w:pPr>
              <w:ind w:left="0" w:right="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2</w:t>
            </w:r>
            <w:r/>
          </w:p>
        </w:tc>
        <w:tc>
          <w:tcPr>
            <w:tcMar>
              <w:left w:w="15" w:type="dxa"/>
              <w:top w:w="15" w:type="dxa"/>
              <w:right w:w="15" w:type="dxa"/>
              <w:bottom w:w="0" w:type="dxa"/>
            </w:tcMar>
            <w:tcW w:w="1258" w:type="dxa"/>
            <w:vAlign w:val="center"/>
            <w:textDirection w:val="lrTb"/>
            <w:noWrap w:val="false"/>
          </w:tcPr>
          <w:p>
            <w:pPr>
              <w:jc w:val="center"/>
              <w:keepLines w:val="0"/>
              <w:keepNext w:val="0"/>
              <w:widowControl/>
              <w:rPr>
                <w:rFonts w:hint="eastAsia" w:ascii="宋体" w:hAnsi="宋体" w:eastAsia="宋体" w:cs="宋体"/>
                <w:b w:val="0"/>
                <w:bCs/>
                <w:color w:val="auto"/>
                <w:spacing w:val="0"/>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项目</w:t>
            </w:r>
            <w:r>
              <w:rPr>
                <w:rFonts w:hint="eastAsia" w:ascii="宋体" w:hAnsi="宋体" w:eastAsia="宋体" w:cs="宋体"/>
                <w:i w:val="0"/>
                <w:iCs w:val="0"/>
                <w:color w:val="auto"/>
                <w:sz w:val="21"/>
                <w:szCs w:val="21"/>
                <w:highlight w:val="none"/>
                <w:u w:val="none"/>
                <w:lang w:val="en-US" w:eastAsia="zh-CN" w:bidi="ar"/>
              </w:rPr>
              <w:t xml:space="preserve">现状分析</w:t>
            </w:r>
            <w:r/>
          </w:p>
        </w:tc>
        <w:tc>
          <w:tcPr>
            <w:tcMar>
              <w:left w:w="15" w:type="dxa"/>
              <w:top w:w="15" w:type="dxa"/>
              <w:right w:w="15" w:type="dxa"/>
              <w:bottom w:w="0" w:type="dxa"/>
            </w:tcMar>
            <w:tcW w:w="6294" w:type="dxa"/>
            <w:vAlign w:val="center"/>
            <w:textDirection w:val="lrTb"/>
            <w:noWrap w:val="false"/>
          </w:tcPr>
          <w:p>
            <w:pPr>
              <w:jc w:val="left"/>
              <w:keepLines w:val="0"/>
              <w:keepNext w:val="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投标人根据采购人提供的点位</w:t>
            </w:r>
            <w:r>
              <w:rPr>
                <w:rFonts w:hint="eastAsia" w:ascii="宋体" w:hAnsi="宋体" w:cs="宋体"/>
                <w:i w:val="0"/>
                <w:iCs w:val="0"/>
                <w:color w:val="auto"/>
                <w:sz w:val="21"/>
                <w:szCs w:val="21"/>
                <w:highlight w:val="none"/>
                <w:u w:val="none"/>
                <w:lang w:val="en-US" w:eastAsia="zh-CN" w:bidi="ar"/>
              </w:rPr>
              <w:t xml:space="preserve">信息</w:t>
            </w:r>
            <w:r>
              <w:rPr>
                <w:rFonts w:hint="eastAsia" w:ascii="宋体" w:hAnsi="宋体" w:eastAsia="宋体" w:cs="宋体"/>
                <w:i w:val="0"/>
                <w:iCs w:val="0"/>
                <w:color w:val="auto"/>
                <w:sz w:val="21"/>
                <w:szCs w:val="21"/>
                <w:highlight w:val="none"/>
                <w:u w:val="none"/>
                <w:lang w:val="en-US" w:eastAsia="zh-CN" w:bidi="ar"/>
              </w:rPr>
              <w:t xml:space="preserve">等相关资料，自行勘查现场分析现状，评委根据投标人对各企业监控、高空监控现状阐述的准确性、完整性进行评价：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1、对各企业、高空监控完成调研，内容丰富，提供详细完整的摸排表，对现状了解和分析透彻、全面、准确，完全满足项目调研要求的，得</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2、对各企业、高空监控完成调研，提供基本完整的摸排表，对现状基本了解，阐述内容完整、表述清晰的，得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3、对各企业、高空监控仅完成部分调研，提供的摸排表不够完整，对现状缺乏深入了解，描述内容较少、不够全面的，得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4、未提供相关现状调研内容不得分。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7分</w:t>
            </w:r>
            <w:r/>
          </w:p>
        </w:tc>
      </w:tr>
      <w:tr>
        <w:trPr>
          <w:jc w:val="center"/>
          <w:trHeight w:val="145"/>
        </w:trPr>
        <w:tc>
          <w:tcPr>
            <w:tcMar>
              <w:left w:w="15" w:type="dxa"/>
              <w:top w:w="15" w:type="dxa"/>
              <w:right w:w="15" w:type="dxa"/>
              <w:bottom w:w="0" w:type="dxa"/>
            </w:tcMar>
            <w:tcW w:w="381" w:type="dxa"/>
            <w:vAlign w:val="center"/>
            <w:textDirection w:val="lrTb"/>
            <w:noWrap w:val="false"/>
          </w:tcPr>
          <w:p>
            <w:pPr>
              <w:ind w:left="0" w:right="0"/>
              <w:jc w:val="center"/>
              <w:keepLines w:val="0"/>
              <w:keepNext w:val="0"/>
              <w:pageBreakBefore w:val="0"/>
              <w:spacing w:line="320" w:lineRule="exact"/>
              <w:widowControl w:val="off"/>
              <w:rPr>
                <w:rFonts w:hint="default"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3</w:t>
            </w:r>
            <w:r/>
          </w:p>
        </w:tc>
        <w:tc>
          <w:tcPr>
            <w:tcMar>
              <w:left w:w="15" w:type="dxa"/>
              <w:top w:w="15" w:type="dxa"/>
              <w:right w:w="15" w:type="dxa"/>
              <w:bottom w:w="0" w:type="dxa"/>
            </w:tcMar>
            <w:tcW w:w="1258" w:type="dxa"/>
            <w:vAlign w:val="center"/>
            <w:textDirection w:val="lrTb"/>
            <w:noWrap w:val="false"/>
          </w:tcPr>
          <w:p>
            <w:pPr>
              <w:jc w:val="center"/>
              <w:keepLines w:val="0"/>
              <w:keepNext w:val="0"/>
              <w:widowControl/>
              <w:rPr>
                <w:rFonts w:hint="eastAsia" w:ascii="宋体" w:hAnsi="宋体" w:eastAsia="宋体" w:cs="宋体"/>
                <w:b w:val="0"/>
                <w:bCs/>
                <w:color w:val="auto"/>
                <w:spacing w:val="0"/>
                <w:sz w:val="21"/>
                <w:szCs w:val="21"/>
                <w:highlight w:val="none"/>
                <w:lang w:val="en-US" w:eastAsia="zh-CN" w:bidi="ar-SA"/>
              </w:rPr>
              <w:suppressLineNumbers w:val="0"/>
            </w:pPr>
            <w:r>
              <w:rPr>
                <w:rFonts w:hint="eastAsia" w:ascii="宋体" w:hAnsi="宋体" w:cs="宋体"/>
                <w:b w:val="0"/>
                <w:bCs/>
                <w:color w:val="auto"/>
                <w:spacing w:val="0"/>
                <w:sz w:val="21"/>
                <w:szCs w:val="21"/>
                <w:highlight w:val="none"/>
                <w:lang w:val="en-US" w:eastAsia="zh-CN" w:bidi="ar-SA"/>
              </w:rPr>
              <w:t xml:space="preserve">项目技术方案</w:t>
            </w:r>
            <w:r/>
          </w:p>
        </w:tc>
        <w:tc>
          <w:tcPr>
            <w:tcMar>
              <w:left w:w="15" w:type="dxa"/>
              <w:top w:w="15" w:type="dxa"/>
              <w:right w:w="15" w:type="dxa"/>
              <w:bottom w:w="0" w:type="dxa"/>
            </w:tcMar>
            <w:tcW w:w="629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根据现状制定详细的技术方案，包括：项目概况、技术路线、建设目标、建设思路、建设内容等。评委根据投标人技术方案的准确性、可行性、先进性、合理性进行评价，投标方案总体设计科学，技术路线清晰可行，并提出符合现状，规范合理的总体设计方案，能满足技术和业主方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1、针对上述要求，方案做到完全覆盖并能延展、拓展，内容全面、详实，图表详尽，非常有针对性和合理性、可操作性的，得</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2、方案仅做到完全覆盖，未能延展、拓展，内容全面、详实但针对性、合理性、可操作性一般的，得</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3、方案内容不全面、不够详实具体，几乎无针对性、合理性、可操作性的，得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未提供方案不得分。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7分</w:t>
            </w:r>
            <w:r/>
          </w:p>
        </w:tc>
      </w:tr>
      <w:tr>
        <w:trPr>
          <w:jc w:val="center"/>
          <w:trHeight w:val="145"/>
        </w:trPr>
        <w:tc>
          <w:tcPr>
            <w:tcMar>
              <w:left w:w="15" w:type="dxa"/>
              <w:top w:w="15" w:type="dxa"/>
              <w:right w:w="15" w:type="dxa"/>
              <w:bottom w:w="0" w:type="dxa"/>
            </w:tcMar>
            <w:tcW w:w="38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4</w:t>
            </w:r>
            <w:r/>
          </w:p>
        </w:tc>
        <w:tc>
          <w:tcPr>
            <w:tcMar>
              <w:left w:w="15" w:type="dxa"/>
              <w:top w:w="15" w:type="dxa"/>
              <w:right w:w="15" w:type="dxa"/>
              <w:bottom w:w="0" w:type="dxa"/>
            </w:tcMar>
            <w:tcW w:w="1258" w:type="dxa"/>
            <w:vAlign w:val="center"/>
            <w:textDirection w:val="lrTb"/>
            <w:noWrap w:val="false"/>
          </w:tcPr>
          <w:p>
            <w:pPr>
              <w:jc w:val="center"/>
              <w:keepLines w:val="0"/>
              <w:keepNext w:val="0"/>
              <w:widowControl/>
              <w:rPr>
                <w:rFonts w:hint="eastAsia" w:ascii="宋体" w:hAnsi="宋体" w:eastAsia="宋体" w:cs="宋体"/>
                <w:b w:val="0"/>
                <w:bCs/>
                <w:color w:val="auto"/>
                <w:spacing w:val="0"/>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w:t>
            </w:r>
            <w:r/>
          </w:p>
        </w:tc>
        <w:tc>
          <w:tcPr>
            <w:tcMar>
              <w:left w:w="15" w:type="dxa"/>
              <w:top w:w="15" w:type="dxa"/>
              <w:right w:w="15" w:type="dxa"/>
              <w:bottom w:w="0" w:type="dxa"/>
            </w:tcMar>
            <w:tcW w:w="629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能够确保项目售后服务质量，提供可行可靠的售后服务方案。包括但不限于以下部分:售后服务团队、服务流程、服务方式、服务承诺、响应及解决时间、定期性检查方案等评委根据投标方案内容进行综合打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1、针对上述要求，方案做到完全覆盖并能延展、拓展，内容全面、详实，图表详尽，非常有针对性和合理性、可操作性的，得</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2、方案仅做到完全覆盖，未能延展、拓展，内容全面、详实但针对性、合理性、可操作性一般的，得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3、方案内容不全面、不够详实具体，几乎无针对性、合理性、可操作性的，得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未提供方案不得分。</w:t>
            </w:r>
            <w:r/>
          </w:p>
        </w:tc>
        <w:tc>
          <w:tcPr>
            <w:tcMar>
              <w:left w:w="15" w:type="dxa"/>
              <w:top w:w="15" w:type="dxa"/>
              <w:right w:w="15" w:type="dxa"/>
              <w:bottom w:w="0" w:type="dxa"/>
            </w:tcMar>
            <w:tcW w:w="40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6分</w:t>
            </w:r>
            <w:r/>
          </w:p>
        </w:tc>
      </w:tr>
    </w:tbl>
    <w:p>
      <w:pPr>
        <w:numPr>
          <w:ilvl w:val="0"/>
          <w:numId w:val="0"/>
        </w:numPr>
        <w:keepLines w:val="0"/>
        <w:keepNext w:val="0"/>
        <w:pageBreakBefore w:val="0"/>
        <w:spacing w:line="320" w:lineRule="exact"/>
        <w:widowControl/>
        <w:rPr>
          <w:rFonts w:hint="eastAsia" w:ascii="宋体" w:hAnsi="宋体" w:eastAsia="宋体" w:cs="宋体"/>
          <w:b/>
          <w:bCs/>
          <w:color w:val="000000"/>
          <w:highlight w:val="none"/>
          <w:lang w:val="en-US" w:eastAsia="zh-CN"/>
        </w:rPr>
      </w:pPr>
      <w:r>
        <w:rPr>
          <w:rFonts w:hint="eastAsia" w:ascii="宋体" w:hAnsi="宋体" w:eastAsia="宋体" w:cs="宋体"/>
          <w:color w:val="000000"/>
          <w:highlight w:val="none"/>
          <w:lang w:val="en-US" w:eastAsia="zh-CN"/>
        </w:rPr>
        <w:t xml:space="preserve">注：1.投标人提供资料必须全部真实，如有伪造，一经查实有造假行为，则需要接受相关监管部门的处罚。2.评委依据招标文件载明的方法进行评分，评分四舍五入精确到小数点后两位。</w:t>
      </w:r>
      <w:r/>
    </w:p>
    <w:p>
      <w:pPr>
        <w:ind w:firstLine="560"/>
        <w:jc w:val="left"/>
        <w:spacing w:before="120" w:after="120" w:line="400" w:lineRule="exact"/>
        <w:rPr>
          <w:rFonts w:hint="eastAsia" w:ascii="方正魏碑_GBK" w:hAnsi="方正魏碑_GBK" w:eastAsia="方正魏碑_GBK" w:cs="方正魏碑_GBK"/>
          <w:color w:val="ff0000"/>
          <w:sz w:val="28"/>
          <w:szCs w:val="28"/>
          <w:highlight w:val="none"/>
        </w:rPr>
      </w:pPr>
      <w:r>
        <w:rPr>
          <w:rFonts w:hint="eastAsia" w:ascii="方正魏碑_GBK" w:hAnsi="方正魏碑_GBK" w:eastAsia="方正魏碑_GBK" w:cs="方正魏碑_GBK"/>
          <w:color w:val="ff0000"/>
          <w:sz w:val="28"/>
          <w:szCs w:val="28"/>
          <w:highlight w:val="none"/>
        </w:rPr>
      </w:r>
      <w:r/>
    </w:p>
    <w:p>
      <w:pPr>
        <w:jc w:val="center"/>
        <w:keepNext/>
        <w:rPr>
          <w:rFonts w:hint="eastAsia" w:ascii="黑体" w:eastAsia="黑体"/>
          <w:bCs/>
          <w:color w:val="000000"/>
          <w:sz w:val="44"/>
          <w:szCs w:val="28"/>
          <w:highlight w:val="none"/>
        </w:rPr>
        <w:sectPr>
          <w:headerReference w:type="default" r:id="rId9"/>
          <w:footerReference w:type="default" r:id="rId12"/>
          <w:footnotePr/>
          <w:endnotePr/>
          <w:type w:val="nextPage"/>
          <w:pgSz w:w="11906" w:h="16838" w:orient="portrait"/>
          <w:pgMar w:top="1440" w:right="1797" w:bottom="1440" w:left="1797" w:header="851" w:footer="992" w:gutter="0"/>
          <w:cols w:num="1" w:sep="0" w:space="1701" w:equalWidth="1"/>
          <w:docGrid w:linePitch="360"/>
        </w:sectPr>
        <w:outlineLvl w:val="0"/>
      </w:pPr>
      <w:r/>
      <w:bookmarkStart w:id="282" w:name="_Toc6481"/>
      <w:r/>
      <w:r/>
    </w:p>
    <w:p>
      <w:pPr>
        <w:jc w:val="center"/>
        <w:keepNext/>
        <w:rPr>
          <w:rFonts w:hint="eastAsia" w:ascii="黑体" w:eastAsia="黑体"/>
          <w:bCs/>
          <w:color w:val="000000"/>
          <w:sz w:val="44"/>
          <w:szCs w:val="28"/>
          <w:highlight w:val="none"/>
        </w:rPr>
        <w:outlineLvl w:val="0"/>
      </w:pPr>
      <w:r/>
      <w:bookmarkStart w:id="283" w:name="_Toc1983"/>
      <w:r/>
      <w:r/>
    </w:p>
    <w:p>
      <w:pPr>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276"/>
      <w:r/>
      <w:bookmarkEnd w:id="277"/>
      <w:r/>
      <w:bookmarkEnd w:id="281"/>
      <w:r>
        <w:rPr>
          <w:rFonts w:hint="eastAsia" w:ascii="黑体" w:eastAsia="黑体"/>
          <w:bCs/>
          <w:color w:val="000000"/>
          <w:sz w:val="44"/>
          <w:szCs w:val="28"/>
          <w:highlight w:val="none"/>
        </w:rPr>
        <w:t xml:space="preserve">文件格式</w:t>
      </w:r>
      <w:bookmarkEnd w:id="282"/>
      <w:r/>
      <w:bookmarkEnd w:id="283"/>
      <w:r/>
      <w:r/>
    </w:p>
    <w:p>
      <w:pPr>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r>
      <w:r/>
    </w:p>
    <w:p>
      <w:pPr>
        <w:jc w:val="center"/>
        <w:rPr>
          <w:rFonts w:hint="eastAsia" w:ascii="宋体" w:hAnsi="宋体"/>
          <w:b/>
          <w:bCs/>
          <w:color w:val="000000"/>
          <w:sz w:val="72"/>
          <w:szCs w:val="72"/>
          <w:highlight w:val="none"/>
        </w:rPr>
      </w:pPr>
      <w:r/>
      <w:bookmarkStart w:id="284" w:name="_Hlt26671244"/>
      <w:r/>
      <w:bookmarkEnd w:id="284"/>
      <w:r/>
      <w:bookmarkStart w:id="285" w:name="_Hlt26955039"/>
      <w:r/>
      <w:bookmarkEnd w:id="285"/>
      <w:r/>
      <w:bookmarkStart w:id="286" w:name="_Toc26554094"/>
      <w:r/>
      <w:bookmarkStart w:id="287" w:name="_Toc120614282"/>
      <w:r/>
      <w:bookmarkStart w:id="288"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outlineLvl w:val="0"/>
      </w:pPr>
      <w:r/>
      <w:bookmarkStart w:id="289" w:name="_Toc17949"/>
      <w:r/>
      <w:bookmarkStart w:id="290" w:name="_Toc30901"/>
      <w:r/>
      <w:bookmarkStart w:id="291" w:name="_Toc13580"/>
      <w:r>
        <w:rPr>
          <w:rFonts w:hint="eastAsia" w:ascii="宋体" w:hAnsi="宋体"/>
          <w:b/>
          <w:color w:val="000000"/>
          <w:sz w:val="72"/>
          <w:szCs w:val="21"/>
          <w:highlight w:val="none"/>
        </w:rPr>
        <w:t xml:space="preserve">投  标  文  件</w:t>
      </w:r>
      <w:bookmarkEnd w:id="289"/>
      <w:r/>
      <w:bookmarkEnd w:id="290"/>
      <w:r/>
      <w:bookmarkEnd w:id="291"/>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rPr>
          <w:rFonts w:hint="eastAsia" w:ascii="宋体" w:hAnsi="宋体"/>
          <w:b/>
          <w:bCs/>
          <w:sz w:val="32"/>
          <w:szCs w:val="32"/>
          <w:highlight w:val="none"/>
        </w:rPr>
        <w:outlineLvl w:val="0"/>
      </w:pPr>
      <w:r/>
      <w:bookmarkStart w:id="292" w:name="_Toc27761"/>
      <w:r/>
      <w:bookmarkStart w:id="293" w:name="_Toc22263"/>
      <w:r/>
      <w:r/>
    </w:p>
    <w:p>
      <w:pPr>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jc w:val="center"/>
        <w:rPr>
          <w:rFonts w:hint="eastAsia" w:ascii="宋体" w:hAnsi="宋体"/>
          <w:b/>
          <w:bCs/>
          <w:sz w:val="32"/>
          <w:szCs w:val="32"/>
          <w:highlight w:val="none"/>
        </w:rPr>
        <w:outlineLvl w:val="0"/>
      </w:pPr>
      <w:r>
        <w:rPr>
          <w:rFonts w:hint="eastAsia" w:ascii="宋体" w:hAnsi="宋体"/>
          <w:b/>
          <w:bCs/>
          <w:sz w:val="32"/>
          <w:szCs w:val="32"/>
          <w:highlight w:val="none"/>
        </w:rPr>
      </w:r>
      <w:r/>
    </w:p>
    <w:p>
      <w:pPr>
        <w:jc w:val="center"/>
        <w:rPr>
          <w:rFonts w:hint="eastAsia" w:ascii="宋体" w:hAnsi="宋体"/>
          <w:b/>
          <w:bCs/>
          <w:sz w:val="32"/>
          <w:szCs w:val="32"/>
          <w:highlight w:val="none"/>
        </w:rPr>
        <w:outlineLvl w:val="0"/>
      </w:pPr>
      <w:r/>
      <w:bookmarkStart w:id="294" w:name="_Toc25940"/>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bookmarkEnd w:id="292"/>
      <w:r/>
      <w:bookmarkEnd w:id="293"/>
      <w:r/>
      <w:bookmarkEnd w:id="294"/>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p>
    <w:p>
      <w:pPr>
        <w:ind w:left="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lang w:val="en-US" w:eastAsia="zh-CN"/>
        </w:rPr>
      </w:pPr>
      <w:r>
        <w:rPr>
          <w:rFonts w:hint="eastAsia" w:ascii="宋体" w:hAnsi="宋体"/>
          <w:sz w:val="24"/>
          <w:szCs w:val="21"/>
          <w:highlight w:val="none"/>
          <w:lang w:val="en-US" w:eastAsia="zh-CN"/>
        </w:rPr>
        <w:t xml:space="preserve">3.投标人认为需要添加的内容</w:t>
      </w:r>
      <w:r/>
    </w:p>
    <w:p>
      <w:pPr>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p>
    <w:p>
      <w:pPr>
        <w:ind w:firstLine="480"/>
        <w:spacing w:line="400" w:lineRule="exact"/>
        <w:rPr>
          <w:rFonts w:hint="eastAsia" w:ascii="宋体" w:hAnsi="宋体"/>
          <w:b/>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rPr>
          <w:rFonts w:hint="eastAsia" w:ascii="宋体" w:hAnsi="宋体"/>
          <w:b/>
          <w:bCs/>
          <w:sz w:val="24"/>
          <w:szCs w:val="21"/>
          <w:highlight w:val="none"/>
        </w:rPr>
        <w:t xml:space="preserve">（如供应商为分支机构的还需提供总公司出具的授权委托书）；</w:t>
      </w:r>
      <w:bookmarkStart w:id="295" w:name="OLE_LINK54"/>
      <w:r/>
      <w:bookmarkStart w:id="296" w:name="OLE_LINK55"/>
      <w:r>
        <w:rPr>
          <w:rFonts w:hint="eastAsia" w:ascii="宋体" w:hAnsi="宋体"/>
          <w:b/>
          <w:bCs/>
          <w:sz w:val="24"/>
          <w:szCs w:val="21"/>
          <w:highlight w:val="none"/>
        </w:rPr>
        <w:t xml:space="preserve">以联合体形式投标的联合体各方均须提供</w:t>
      </w:r>
      <w:bookmarkEnd w:id="295"/>
      <w:r/>
      <w:bookmarkEnd w:id="296"/>
      <w:r>
        <w:rPr>
          <w:rFonts w:hint="eastAsia" w:ascii="宋体" w:hAnsi="宋体"/>
          <w:b/>
          <w:bCs/>
          <w:sz w:val="24"/>
          <w:szCs w:val="21"/>
          <w:highlight w:val="none"/>
          <w:lang w:eastAsia="zh-CN"/>
        </w:rPr>
        <w:t xml:space="preserve">。</w:t>
      </w:r>
      <w:r/>
    </w:p>
    <w:p>
      <w:pPr>
        <w:ind w:firstLine="480"/>
        <w:spacing w:line="400" w:lineRule="exact"/>
        <w:rPr>
          <w:rFonts w:hint="eastAsia" w:ascii="宋体" w:hAnsi="宋体"/>
          <w:b/>
          <w:bCs/>
          <w:sz w:val="24"/>
          <w:szCs w:val="21"/>
          <w:highlight w:val="none"/>
        </w:rPr>
      </w:pP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基本资格条件的承诺（根据供应商提供的承诺函，内容完整且具有法人及法定代表人的印章）（格式见附件</w:t>
      </w:r>
      <w:r>
        <w:rPr>
          <w:rFonts w:hint="eastAsia" w:ascii="宋体" w:hAnsi="宋体"/>
          <w:sz w:val="24"/>
          <w:szCs w:val="21"/>
          <w:highlight w:val="none"/>
          <w:lang w:val="en-US" w:eastAsia="zh-CN"/>
        </w:rPr>
        <w:t xml:space="preserve">3，</w:t>
      </w:r>
      <w:r>
        <w:rPr>
          <w:rFonts w:hint="eastAsia" w:ascii="宋体" w:hAnsi="宋体"/>
          <w:b/>
          <w:bCs/>
          <w:sz w:val="24"/>
          <w:szCs w:val="21"/>
          <w:highlight w:val="none"/>
        </w:rPr>
        <w:t xml:space="preserve">以联合体形式投标的联合体各方均须提供</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特定资格要求的证明文件</w:t>
      </w:r>
      <w:r/>
    </w:p>
    <w:p>
      <w:pPr>
        <w:ind w:firstLine="480"/>
        <w:spacing w:line="400" w:lineRule="exact"/>
        <w:rPr>
          <w:rFonts w:hint="eastAsia" w:ascii="宋体" w:hAnsi="宋体"/>
          <w:b/>
          <w:bCs/>
          <w:sz w:val="24"/>
          <w:szCs w:val="21"/>
          <w:highlight w:val="none"/>
        </w:rPr>
      </w:pPr>
      <w:r>
        <w:rPr>
          <w:rFonts w:hint="eastAsia" w:ascii="宋体" w:hAnsi="宋体"/>
          <w:sz w:val="24"/>
          <w:szCs w:val="21"/>
          <w:highlight w:val="none"/>
          <w:lang w:val="en-US" w:eastAsia="zh-CN"/>
        </w:rPr>
        <w:t xml:space="preserve">4</w:t>
      </w:r>
      <w:r>
        <w:rPr>
          <w:rFonts w:ascii="宋体" w:hAnsi="宋体"/>
          <w:sz w:val="24"/>
          <w:szCs w:val="21"/>
          <w:highlight w:val="none"/>
        </w:rPr>
        <w:t xml:space="preserve">.</w:t>
      </w:r>
      <w:r>
        <w:rPr>
          <w:rFonts w:hint="eastAsia" w:ascii="宋体" w:hAnsi="宋体"/>
          <w:sz w:val="24"/>
          <w:szCs w:val="21"/>
          <w:highlight w:val="none"/>
        </w:rPr>
        <w:t xml:space="preserve">法人授权书（格式见附件</w:t>
      </w:r>
      <w:r>
        <w:rPr>
          <w:rFonts w:hint="eastAsia" w:ascii="宋体" w:hAnsi="宋体"/>
          <w:sz w:val="24"/>
          <w:szCs w:val="21"/>
          <w:highlight w:val="none"/>
          <w:lang w:val="en-US" w:eastAsia="zh-CN"/>
        </w:rPr>
        <w:t xml:space="preserve">4，</w:t>
      </w:r>
      <w:r>
        <w:rPr>
          <w:rFonts w:hint="eastAsia" w:ascii="宋体" w:hAnsi="宋体"/>
          <w:b/>
          <w:bCs/>
          <w:sz w:val="24"/>
          <w:szCs w:val="21"/>
          <w:highlight w:val="none"/>
        </w:rPr>
        <w:t xml:space="preserve">以联合体形式投标的仅需牵头单位出具</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5</w:t>
      </w:r>
      <w:r>
        <w:rPr>
          <w:rFonts w:ascii="宋体" w:hAnsi="宋体"/>
          <w:sz w:val="24"/>
          <w:szCs w:val="21"/>
          <w:highlight w:val="none"/>
        </w:rPr>
        <w:t xml:space="preserve">.</w:t>
      </w:r>
      <w:r>
        <w:rPr>
          <w:rFonts w:hint="eastAsia" w:ascii="宋体" w:hAnsi="宋体"/>
          <w:sz w:val="24"/>
          <w:szCs w:val="21"/>
          <w:highlight w:val="none"/>
        </w:rPr>
        <w:t xml:space="preserve">投标函（格式见附件</w:t>
      </w: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6</w:t>
      </w:r>
      <w:r>
        <w:rPr>
          <w:rFonts w:ascii="宋体" w:hAnsi="宋体"/>
          <w:sz w:val="24"/>
          <w:szCs w:val="21"/>
          <w:highlight w:val="none"/>
        </w:rPr>
        <w:t xml:space="preserve">.</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6</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7.</w:t>
      </w:r>
      <w:r>
        <w:rPr>
          <w:rFonts w:hint="eastAsia" w:ascii="宋体" w:hAnsi="宋体"/>
          <w:sz w:val="24"/>
          <w:szCs w:val="21"/>
          <w:highlight w:val="none"/>
        </w:rPr>
        <w:t xml:space="preserve">技术条款响应及偏离表（格式见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7</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8.联合体协议书（</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9；</w:t>
      </w:r>
      <w:r>
        <w:rPr>
          <w:rFonts w:hint="eastAsia" w:ascii="宋体" w:hAnsi="宋体"/>
          <w:b/>
          <w:bCs/>
          <w:sz w:val="24"/>
          <w:szCs w:val="21"/>
          <w:highlight w:val="none"/>
          <w:lang w:val="en-US" w:eastAsia="zh-CN"/>
        </w:rPr>
        <w:t xml:space="preserve">如联合体投标的，需提供联合体协议书</w:t>
      </w:r>
      <w:r>
        <w:rPr>
          <w:rFonts w:hint="eastAsia" w:ascii="宋体" w:hAnsi="宋体"/>
          <w:sz w:val="24"/>
          <w:szCs w:val="21"/>
          <w:highlight w:val="none"/>
          <w:lang w:val="en-US" w:eastAsia="zh-CN"/>
        </w:rPr>
        <w:t xml:space="preserve">）</w:t>
      </w:r>
      <w:r/>
    </w:p>
    <w:p>
      <w:pPr>
        <w:ind w:firstLine="480"/>
        <w:rPr>
          <w:rFonts w:ascii="宋体" w:hAnsi="宋体"/>
          <w:b/>
          <w:sz w:val="24"/>
          <w:szCs w:val="21"/>
          <w:highlight w:val="none"/>
        </w:rPr>
      </w:pPr>
      <w:r>
        <w:rPr>
          <w:rFonts w:hint="eastAsia" w:ascii="宋体" w:hAnsi="宋体"/>
          <w:b/>
          <w:sz w:val="24"/>
          <w:szCs w:val="21"/>
          <w:highlight w:val="none"/>
          <w:lang w:val="en-US" w:eastAsia="zh-CN"/>
        </w:rPr>
        <w:t xml:space="preserve">三</w:t>
      </w:r>
      <w:r>
        <w:rPr>
          <w:rFonts w:hint="eastAsia" w:ascii="宋体" w:hAnsi="宋体"/>
          <w:b/>
          <w:sz w:val="24"/>
          <w:szCs w:val="21"/>
          <w:highlight w:val="none"/>
        </w:rPr>
        <w:t xml:space="preserve">、价格</w:t>
      </w:r>
      <w:r>
        <w:rPr>
          <w:rFonts w:ascii="宋体" w:hAnsi="宋体"/>
          <w:b/>
          <w:sz w:val="24"/>
          <w:szCs w:val="21"/>
          <w:highlight w:val="none"/>
        </w:rPr>
        <w:t xml:space="preserve">扣除证明文件</w:t>
      </w:r>
      <w:r/>
    </w:p>
    <w:p>
      <w:pPr>
        <w:ind w:firstLine="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6</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hint="eastAsia" w:ascii="方正魏碑_GBK" w:hAnsi="方正魏碑_GBK" w:eastAsia="方正魏碑_GBK" w:cs="方正魏碑_GBK"/>
          <w:color w:val="ff0000"/>
          <w:sz w:val="24"/>
          <w:szCs w:val="21"/>
          <w:highlight w:val="none"/>
          <w:lang w:val="en-US" w:eastAsia="zh-CN"/>
        </w:rPr>
        <w:t xml:space="preserve">2</w:t>
      </w:r>
      <w:r>
        <w:rPr>
          <w:rFonts w:hint="eastAsia" w:ascii="方正魏碑_GBK" w:hAnsi="方正魏碑_GBK" w:eastAsia="方正魏碑_GBK" w:cs="方正魏碑_GBK"/>
          <w:color w:val="ff0000"/>
          <w:sz w:val="24"/>
          <w:szCs w:val="21"/>
          <w:highlight w:val="none"/>
        </w:rPr>
        <w:t xml:space="preserve">. 关于符合本国产品标准的声明函（格式见附件</w:t>
      </w:r>
      <w:r>
        <w:rPr>
          <w:rFonts w:hint="eastAsia" w:ascii="方正魏碑_GBK" w:hAnsi="方正魏碑_GBK" w:eastAsia="方正魏碑_GBK" w:cs="方正魏碑_GBK"/>
          <w:color w:val="ff0000"/>
          <w:sz w:val="24"/>
          <w:szCs w:val="21"/>
          <w:highlight w:val="none"/>
          <w:lang w:val="en-US" w:eastAsia="zh-CN"/>
        </w:rPr>
        <w:t xml:space="preserve">8</w:t>
      </w:r>
      <w:r>
        <w:rPr>
          <w:rFonts w:hint="eastAsia" w:ascii="方正魏碑_GBK" w:hAnsi="方正魏碑_GBK" w:eastAsia="方正魏碑_GBK" w:cs="方正魏碑_GBK"/>
          <w:color w:val="ff0000"/>
          <w:sz w:val="24"/>
          <w:szCs w:val="21"/>
          <w:highlight w:val="none"/>
        </w:rPr>
        <w:t xml:space="preserve">）</w:t>
      </w:r>
      <w:r/>
    </w:p>
    <w:p>
      <w:pPr>
        <w:ind w:left="480"/>
        <w:rPr>
          <w:rFonts w:ascii="宋体" w:hAnsi="宋体"/>
          <w:b/>
          <w:sz w:val="24"/>
          <w:szCs w:val="21"/>
          <w:highlight w:val="none"/>
        </w:rPr>
      </w:pPr>
      <w:r>
        <w:rPr>
          <w:rFonts w:ascii="宋体" w:hAnsi="宋体"/>
          <w:b/>
          <w:sz w:val="24"/>
          <w:szCs w:val="21"/>
          <w:highlight w:val="none"/>
        </w:rPr>
      </w:r>
      <w:r/>
    </w:p>
    <w:p>
      <w:pPr>
        <w:jc w:val="center"/>
        <w:rPr>
          <w:rFonts w:hint="eastAsia" w:ascii="宋体" w:hAnsi="宋体"/>
          <w:b/>
          <w:sz w:val="24"/>
          <w:szCs w:val="24"/>
          <w:highlight w:val="none"/>
        </w:rPr>
        <w:outlineLvl w:val="0"/>
      </w:pPr>
      <w:r/>
      <w:bookmarkStart w:id="297" w:name="_Toc24141"/>
      <w:r/>
      <w:bookmarkStart w:id="298" w:name="_Toc12215"/>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bCs/>
          <w:sz w:val="24"/>
          <w:szCs w:val="24"/>
          <w:highlight w:val="none"/>
        </w:rPr>
        <w:outlineLvl w:val="0"/>
      </w:pPr>
      <w:r>
        <w:rPr>
          <w:rFonts w:hint="eastAsia" w:ascii="宋体" w:hAnsi="宋体"/>
          <w:b/>
          <w:bCs/>
          <w:sz w:val="24"/>
          <w:szCs w:val="24"/>
          <w:highlight w:val="none"/>
        </w:rPr>
      </w:r>
      <w:r/>
    </w:p>
    <w:p>
      <w:pPr>
        <w:jc w:val="center"/>
        <w:rPr>
          <w:rFonts w:hint="eastAsia" w:ascii="宋体" w:hAnsi="宋体"/>
          <w:b/>
          <w:bCs/>
          <w:sz w:val="24"/>
          <w:szCs w:val="24"/>
          <w:highlight w:val="none"/>
        </w:rPr>
        <w:outlineLvl w:val="0"/>
      </w:pPr>
      <w:r>
        <w:rPr>
          <w:rFonts w:hint="eastAsia" w:ascii="宋体" w:hAnsi="宋体"/>
          <w:b/>
          <w:bCs/>
          <w:sz w:val="24"/>
          <w:szCs w:val="24"/>
          <w:highlight w:val="none"/>
        </w:rPr>
      </w:r>
      <w:r/>
    </w:p>
    <w:p>
      <w:pPr>
        <w:jc w:val="center"/>
        <w:rPr>
          <w:rFonts w:hint="eastAsia" w:ascii="宋体" w:hAnsi="宋体"/>
          <w:b/>
          <w:bCs/>
          <w:sz w:val="24"/>
          <w:szCs w:val="24"/>
          <w:highlight w:val="none"/>
        </w:rPr>
        <w:outlineLvl w:val="0"/>
      </w:pPr>
      <w:r>
        <w:rPr>
          <w:rFonts w:hint="eastAsia" w:ascii="宋体" w:hAnsi="宋体"/>
          <w:b/>
          <w:bCs/>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rPr>
          <w:rFonts w:hint="eastAsia"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bookmarkEnd w:id="297"/>
      <w:r/>
      <w:bookmarkEnd w:id="298"/>
      <w:r/>
      <w:r/>
    </w:p>
    <w:p>
      <w:pPr>
        <w:jc w:val="center"/>
        <w:rPr>
          <w:b/>
          <w:bCs/>
          <w:sz w:val="32"/>
          <w:szCs w:val="32"/>
          <w:highlight w:val="none"/>
        </w:rPr>
      </w:pPr>
      <w:r>
        <w:rPr>
          <w:b/>
          <w:bCs/>
          <w:sz w:val="32"/>
          <w:szCs w:val="32"/>
          <w:highlight w:val="none"/>
        </w:rPr>
      </w:r>
      <w:r/>
    </w:p>
    <w:p>
      <w:pPr>
        <w:jc w:val="center"/>
        <w:rPr>
          <w:rFonts w:hint="eastAsia"/>
          <w:b/>
          <w:bCs/>
          <w:sz w:val="32"/>
          <w:szCs w:val="32"/>
          <w:highlight w:val="none"/>
        </w:rPr>
      </w:pPr>
      <w:r>
        <w:rPr>
          <w:rFonts w:hint="eastAsia"/>
          <w:b/>
          <w:bCs/>
          <w:sz w:val="32"/>
          <w:szCs w:val="32"/>
          <w:highlight w:val="none"/>
        </w:rPr>
      </w:r>
      <w:r/>
    </w:p>
    <w:p>
      <w:pPr>
        <w:jc w:val="center"/>
        <w:rPr>
          <w:rFonts w:hint="eastAsia"/>
          <w:b/>
          <w:bCs/>
          <w:sz w:val="32"/>
          <w:szCs w:val="32"/>
          <w:highlight w:val="none"/>
        </w:rPr>
      </w:pPr>
      <w:r>
        <w:rPr>
          <w:rFonts w:hint="eastAsia"/>
          <w:b/>
          <w:sz w:val="32"/>
          <w:szCs w:val="32"/>
          <w:highlight w:val="none"/>
        </w:rPr>
        <w:t xml:space="preserve">开标一览表</w:t>
      </w:r>
      <w:r/>
    </w:p>
    <w:p>
      <w:pPr>
        <w:spacing w:line="500" w:lineRule="exact"/>
        <w:rPr>
          <w:rFonts w:hint="eastAsia" w:eastAsia="仿宋_GB2312"/>
          <w:b/>
          <w:bCs/>
          <w:color w:val="ff0000"/>
          <w:sz w:val="28"/>
          <w:szCs w:val="28"/>
          <w:highlight w:val="none"/>
        </w:rPr>
      </w:pPr>
      <w:r>
        <w:rPr>
          <w:rFonts w:hint="eastAsia" w:eastAsia="仿宋_GB2312"/>
          <w:b/>
          <w:bCs/>
          <w:color w:val="ff0000"/>
          <w:sz w:val="28"/>
          <w:szCs w:val="28"/>
          <w:highlight w:val="none"/>
        </w:rPr>
      </w:r>
      <w:r/>
    </w:p>
    <w:p>
      <w:pPr>
        <w:spacing w:line="500" w:lineRule="exact"/>
        <w:rPr>
          <w:rFonts w:eastAsia="楷体"/>
          <w:b/>
          <w:color w:val="0d0d0d"/>
          <w:sz w:val="28"/>
          <w:szCs w:val="28"/>
          <w:highlight w:val="none"/>
        </w:rPr>
      </w:pPr>
      <w:r>
        <w:rPr>
          <w:rFonts w:hint="eastAsia" w:eastAsia="仿宋_GB2312"/>
          <w:b/>
          <w:bCs/>
          <w:color w:val="ff0000"/>
          <w:sz w:val="28"/>
          <w:szCs w:val="28"/>
          <w:highlight w:val="none"/>
        </w:rPr>
        <w:t xml:space="preserve">按“江苏省政府采购管理交易系统（苏采云）”中格式填写。</w:t>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ascii="方正魏碑_GBK" w:hAnsi="方正魏碑_GBK" w:eastAsia="方正魏碑_GBK" w:cs="方正魏碑_GBK"/>
          <w:b/>
          <w:color w:val="ff0000"/>
          <w:sz w:val="24"/>
          <w:szCs w:val="24"/>
          <w:highlight w:val="none"/>
        </w:rPr>
      </w:pPr>
      <w:r>
        <w:rPr>
          <w:rFonts w:ascii="方正魏碑_GBK" w:hAnsi="方正魏碑_GBK" w:eastAsia="方正魏碑_GBK" w:cs="方正魏碑_GBK"/>
          <w:b/>
          <w:color w:val="ff0000"/>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hint="eastAsia" w:ascii="宋体" w:hAnsi="宋体"/>
          <w:b/>
          <w:sz w:val="24"/>
          <w:szCs w:val="24"/>
          <w:highlight w:val="none"/>
        </w:rPr>
        <w:outlineLvl w:val="0"/>
      </w:pPr>
      <w:r/>
      <w:bookmarkStart w:id="299" w:name="_Toc12552"/>
      <w:r/>
      <w:bookmarkStart w:id="300" w:name="_Toc11550"/>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bCs/>
          <w:sz w:val="24"/>
          <w:szCs w:val="24"/>
          <w:highlight w:val="none"/>
        </w:rPr>
        <w:outlineLvl w:val="0"/>
      </w:pPr>
      <w:r/>
      <w:bookmarkStart w:id="301" w:name="_Toc24615"/>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w:t>
      </w:r>
      <w:r>
        <w:rPr>
          <w:rFonts w:hint="eastAsia" w:ascii="宋体" w:hAnsi="宋体"/>
          <w:b/>
          <w:sz w:val="24"/>
          <w:szCs w:val="24"/>
          <w:highlight w:val="none"/>
          <w:lang w:val="en-US" w:eastAsia="zh-CN"/>
        </w:rPr>
        <w:t xml:space="preserve"> </w:t>
      </w:r>
      <w:r>
        <w:rPr>
          <w:rFonts w:hint="eastAsia" w:ascii="宋体" w:hAnsi="宋体"/>
          <w:b/>
          <w:sz w:val="24"/>
          <w:szCs w:val="24"/>
          <w:highlight w:val="none"/>
        </w:rPr>
        <w:t xml:space="preserve">投标分项报价表</w:t>
      </w:r>
      <w:bookmarkEnd w:id="299"/>
      <w:r/>
      <w:bookmarkEnd w:id="300"/>
      <w:r/>
      <w:bookmarkEnd w:id="301"/>
      <w:r/>
      <w:r/>
    </w:p>
    <w:tbl>
      <w:tblPr>
        <w:tblStyle w:val="7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1066"/>
        <w:gridCol w:w="1066"/>
        <w:gridCol w:w="1066"/>
        <w:gridCol w:w="1066"/>
        <w:gridCol w:w="1066"/>
        <w:gridCol w:w="1066"/>
        <w:gridCol w:w="1066"/>
      </w:tblGrid>
      <w:tr>
        <w:trPr/>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cs="宋体"/>
                <w:bCs/>
                <w:szCs w:val="21"/>
                <w:highlight w:val="none"/>
              </w:rPr>
              <w:t xml:space="preserve">序号</w:t>
            </w:r>
            <w:r/>
          </w:p>
        </w:tc>
        <w:tc>
          <w:tcPr>
            <w:tcW w:w="1066" w:type="dxa"/>
            <w:textDirection w:val="lrTb"/>
            <w:noWrap w:val="false"/>
          </w:tcPr>
          <w:p>
            <w:pPr>
              <w:pStyle w:val="1078"/>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标的物名称</w:t>
            </w:r>
            <w:r/>
          </w:p>
        </w:tc>
        <w:tc>
          <w:tcPr>
            <w:tcW w:w="1066" w:type="dxa"/>
            <w:textDirection w:val="lrTb"/>
            <w:noWrap w:val="false"/>
          </w:tcPr>
          <w:p>
            <w:pPr>
              <w:pStyle w:val="1078"/>
              <w:jc w:val="center"/>
              <w:pageBreakBefore w:val="0"/>
              <w:spacing w:after="0" w:line="360" w:lineRule="auto"/>
              <w:rPr>
                <w:rFonts w:hint="eastAsia" w:ascii="宋体" w:hAnsi="宋体" w:eastAsia="宋体" w:cs="宋体"/>
                <w:highlight w:val="none"/>
                <w:lang w:val="en-US" w:eastAsia="zh-CN"/>
              </w:rPr>
            </w:pPr>
            <w:r>
              <w:rPr>
                <w:rFonts w:hint="eastAsia" w:ascii="宋体" w:hAnsi="宋体" w:eastAsia="宋体" w:cs="宋体"/>
                <w:bCs/>
                <w:szCs w:val="21"/>
                <w:highlight w:val="none"/>
                <w:lang w:val="en-US" w:eastAsia="zh-CN"/>
              </w:rPr>
              <w:t xml:space="preserve">规格、型号</w:t>
            </w:r>
            <w:r/>
          </w:p>
        </w:tc>
        <w:tc>
          <w:tcPr>
            <w:tcW w:w="1066" w:type="dxa"/>
            <w:textDirection w:val="lrTb"/>
            <w:noWrap w:val="false"/>
          </w:tcPr>
          <w:p>
            <w:pPr>
              <w:pStyle w:val="1078"/>
              <w:jc w:val="center"/>
              <w:pageBreakBefore w:val="0"/>
              <w:spacing w:after="0" w:line="360" w:lineRule="auto"/>
              <w:rPr>
                <w:rFonts w:hint="eastAsia" w:ascii="宋体" w:hAnsi="宋体" w:eastAsia="宋体" w:cs="宋体"/>
                <w:highlight w:val="none"/>
                <w:lang w:val="en-US" w:eastAsia="zh-CN"/>
              </w:rPr>
            </w:pPr>
            <w:r>
              <w:rPr>
                <w:rFonts w:hint="eastAsia" w:ascii="宋体" w:hAnsi="宋体" w:cs="宋体"/>
                <w:bCs/>
                <w:szCs w:val="21"/>
                <w:highlight w:val="none"/>
                <w:lang w:val="en-US" w:eastAsia="zh-CN"/>
              </w:rPr>
              <w:t xml:space="preserve">品牌</w:t>
            </w:r>
            <w:r/>
          </w:p>
        </w:tc>
        <w:tc>
          <w:tcPr>
            <w:tcW w:w="1066" w:type="dxa"/>
            <w:textDirection w:val="lrTb"/>
            <w:noWrap w:val="false"/>
          </w:tcPr>
          <w:p>
            <w:pPr>
              <w:pStyle w:val="1078"/>
              <w:jc w:val="center"/>
              <w:pageBreakBefore w:val="0"/>
              <w:spacing w:after="0" w:line="360" w:lineRule="auto"/>
              <w:rPr>
                <w:rFonts w:ascii="宋体" w:hAnsi="宋体" w:cs="宋体"/>
                <w:highlight w:val="none"/>
                <w:lang w:val="en-US" w:eastAsia="zh-CN" w:bidi="ar-SA"/>
              </w:rPr>
            </w:pPr>
            <w:r>
              <w:rPr>
                <w:rFonts w:hint="eastAsia" w:ascii="宋体" w:hAnsi="宋体" w:cs="宋体"/>
                <w:bCs/>
                <w:szCs w:val="21"/>
                <w:highlight w:val="none"/>
              </w:rPr>
              <w:t xml:space="preserve">单位</w:t>
            </w:r>
            <w:r/>
          </w:p>
        </w:tc>
        <w:tc>
          <w:tcPr>
            <w:tcW w:w="1066" w:type="dxa"/>
            <w:textDirection w:val="lrTb"/>
            <w:noWrap w:val="false"/>
          </w:tcPr>
          <w:p>
            <w:pPr>
              <w:pStyle w:val="1078"/>
              <w:jc w:val="center"/>
              <w:pageBreakBefore w:val="0"/>
              <w:spacing w:after="0" w:line="360" w:lineRule="auto"/>
              <w:rPr>
                <w:rFonts w:ascii="宋体" w:hAnsi="宋体" w:cs="宋体"/>
                <w:highlight w:val="none"/>
                <w:lang w:val="en-US" w:eastAsia="zh-CN" w:bidi="ar-SA"/>
              </w:rPr>
            </w:pPr>
            <w:r>
              <w:rPr>
                <w:rFonts w:hint="eastAsia" w:ascii="宋体" w:hAnsi="宋体" w:cs="宋体"/>
                <w:bCs/>
                <w:szCs w:val="21"/>
                <w:highlight w:val="none"/>
              </w:rPr>
              <w:t xml:space="preserve">数量</w:t>
            </w:r>
            <w:r/>
          </w:p>
        </w:tc>
        <w:tc>
          <w:tcPr>
            <w:tcW w:w="1066" w:type="dxa"/>
            <w:textDirection w:val="lrTb"/>
            <w:noWrap w:val="false"/>
          </w:tcPr>
          <w:p>
            <w:pPr>
              <w:pStyle w:val="1078"/>
              <w:jc w:val="center"/>
              <w:pageBreakBefore w:val="0"/>
              <w:spacing w:after="0" w:line="360" w:lineRule="auto"/>
              <w:rPr>
                <w:rFonts w:ascii="宋体" w:hAnsi="宋体" w:cs="宋体"/>
                <w:highlight w:val="none"/>
                <w:lang w:val="en-US" w:eastAsia="zh-CN" w:bidi="ar-SA"/>
              </w:rPr>
            </w:pPr>
            <w:r>
              <w:rPr>
                <w:rFonts w:hint="eastAsia" w:ascii="宋体" w:hAnsi="宋体" w:cs="宋体"/>
                <w:bCs/>
                <w:szCs w:val="21"/>
                <w:highlight w:val="none"/>
                <w:lang w:val="en-US" w:eastAsia="zh-CN"/>
              </w:rPr>
              <w:t xml:space="preserve">分项</w:t>
            </w:r>
            <w:r>
              <w:rPr>
                <w:rFonts w:hint="eastAsia" w:ascii="宋体" w:hAnsi="宋体" w:cs="宋体"/>
                <w:bCs/>
                <w:szCs w:val="21"/>
                <w:highlight w:val="none"/>
              </w:rPr>
              <w:t xml:space="preserve">单价</w:t>
            </w:r>
            <w:r/>
          </w:p>
        </w:tc>
        <w:tc>
          <w:tcPr>
            <w:tcW w:w="1066" w:type="dxa"/>
            <w:textDirection w:val="lrTb"/>
            <w:noWrap w:val="false"/>
          </w:tcPr>
          <w:p>
            <w:pPr>
              <w:pStyle w:val="1078"/>
              <w:jc w:val="center"/>
              <w:pageBreakBefore w:val="0"/>
              <w:spacing w:after="0" w:line="360" w:lineRule="auto"/>
              <w:rPr>
                <w:rFonts w:ascii="宋体" w:hAnsi="宋体" w:eastAsia="宋体" w:cs="宋体"/>
                <w:highlight w:val="none"/>
                <w:lang w:val="en-US" w:eastAsia="zh-CN" w:bidi="ar-SA"/>
              </w:rPr>
            </w:pPr>
            <w:r>
              <w:rPr>
                <w:rFonts w:ascii="宋体" w:hAnsi="宋体" w:eastAsia="宋体" w:cs="宋体"/>
                <w:bCs/>
                <w:sz w:val="21"/>
                <w:szCs w:val="21"/>
                <w:highlight w:val="none"/>
                <w:lang w:val="en-US" w:eastAsia="zh-CN" w:bidi="ar-SA"/>
              </w:rPr>
              <w:t xml:space="preserve">分项总价</w:t>
            </w:r>
            <w:r/>
          </w:p>
        </w:tc>
      </w:tr>
      <w:tr>
        <w:trPr/>
        <w:tc>
          <w:tcPr>
            <w:tcW w:w="1066" w:type="dxa"/>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1</w:t>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c>
          <w:tcPr>
            <w:tcW w:w="1066" w:type="dxa"/>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2</w:t>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c>
          <w:tcPr>
            <w:tcW w:w="1066" w:type="dxa"/>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3</w:t>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c>
          <w:tcPr>
            <w:tcW w:w="1066" w:type="dxa"/>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4</w:t>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c>
          <w:tcPr>
            <w:tcW w:w="1066" w:type="dxa"/>
            <w:textDirection w:val="lrTb"/>
            <w:noWrap w:val="false"/>
          </w:tcPr>
          <w:p>
            <w:pPr>
              <w:jc w:val="center"/>
              <w:pageBreakBefore w:val="0"/>
              <w:spacing w:after="0" w:line="360" w:lineRule="auto"/>
              <w:rPr>
                <w:rFonts w:ascii="宋体" w:hAnsi="宋体" w:eastAsia="宋体" w:cs="宋体"/>
                <w:highlight w:val="none"/>
                <w:lang w:val="en-US" w:eastAsia="zh-CN"/>
              </w:rPr>
            </w:pPr>
            <w:r>
              <w:rPr>
                <w:rFonts w:hint="eastAsia" w:ascii="宋体" w:hAnsi="宋体" w:cs="宋体"/>
                <w:bCs/>
                <w:szCs w:val="21"/>
                <w:highlight w:val="none"/>
                <w:lang w:val="en-US" w:eastAsia="zh-CN"/>
              </w:rPr>
              <w:t xml:space="preserve">...</w:t>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66"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801"/>
        </w:trPr>
        <w:tc>
          <w:tcPr>
            <w:tcW w:w="1066" w:type="dxa"/>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投标总报价</w:t>
            </w:r>
            <w:r/>
          </w:p>
        </w:tc>
        <w:tc>
          <w:tcPr>
            <w:gridSpan w:val="7"/>
            <w:tcW w:w="7462" w:type="dxa"/>
            <w:textDirection w:val="lrTb"/>
            <w:noWrap w:val="false"/>
          </w:tcPr>
          <w:p>
            <w:pPr>
              <w:pStyle w:val="1078"/>
              <w:jc w:val="left"/>
              <w:pageBreakBefore w:val="0"/>
              <w:spacing w:after="0" w:line="360" w:lineRule="auto"/>
              <w:rPr>
                <w:rFonts w:ascii="宋体" w:hAnsi="宋体" w:cs="宋体"/>
                <w:highlight w:val="none"/>
              </w:rPr>
            </w:pPr>
            <w:r>
              <w:rPr>
                <w:rFonts w:hint="eastAsia" w:ascii="宋体" w:hAnsi="宋体" w:cs="宋体"/>
                <w:bCs/>
                <w:szCs w:val="21"/>
                <w:highlight w:val="none"/>
              </w:rPr>
              <w:t xml:space="preserve">金额大写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              元）</w:t>
            </w:r>
            <w:r/>
          </w:p>
        </w:tc>
      </w:tr>
      <w:tr>
        <w:trPr/>
        <w:tc>
          <w:tcPr>
            <w:gridSpan w:val="8"/>
            <w:tcW w:w="8527" w:type="dxa"/>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cs="宋体"/>
                <w:sz w:val="21"/>
                <w:szCs w:val="21"/>
                <w:highlight w:val="none"/>
              </w:rPr>
              <w:t xml:space="preserve">本采购包中提供的符合本国产品标准的产品成本之和占该采购包提供的全部产品成本之和的比例为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b/>
                <w:bCs/>
                <w:color w:val="ff0000"/>
                <w:sz w:val="21"/>
                <w:szCs w:val="21"/>
                <w:highlight w:val="none"/>
                <w:lang w:val="en-US" w:eastAsia="zh-CN"/>
              </w:rPr>
              <w:t xml:space="preserve">注：全部产品是指货物或服务采购项目或采购包中包含的全部货物、服务产品。</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hint="eastAsia" w:ascii="宋体" w:hAnsi="宋体"/>
          <w:sz w:val="24"/>
          <w:szCs w:val="21"/>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本项目为固定单价合同，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w:t>
      </w:r>
      <w:r>
        <w:rPr>
          <w:rFonts w:hint="eastAsia" w:ascii="宋体" w:hAnsi="宋体"/>
          <w:sz w:val="24"/>
          <w:szCs w:val="21"/>
          <w:highlight w:val="none"/>
        </w:rPr>
        <w:t xml:space="preserve">“投标总报价”数额为各“分项总价”之和。</w:t>
      </w:r>
      <w:r/>
    </w:p>
    <w:p>
      <w:pPr>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hint="eastAsia"/>
          <w:szCs w:val="21"/>
          <w:highlight w:val="none"/>
        </w:rPr>
        <w:t xml:space="preserve">“</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spacing w:line="400" w:lineRule="exact"/>
        <w:rPr>
          <w:rFonts w:hint="eastAsia" w:ascii="宋体" w:hAnsi="宋体"/>
          <w:sz w:val="24"/>
          <w:szCs w:val="21"/>
          <w:highlight w:val="none"/>
        </w:rPr>
      </w:pPr>
      <w:r>
        <w:rPr>
          <w:rFonts w:hint="eastAsia" w:ascii="方正魏碑_GBK" w:hAnsi="方正魏碑_GBK" w:eastAsia="方正魏碑_GBK" w:cs="方正魏碑_GBK"/>
          <w:color w:val="ff0000"/>
          <w:sz w:val="28"/>
          <w:szCs w:val="28"/>
          <w:highlight w:val="none"/>
        </w:rPr>
        <w:t xml:space="preserve">3</w:t>
      </w:r>
      <w:r>
        <w:rPr>
          <w:rFonts w:ascii="方正魏碑_GBK" w:hAnsi="方正魏碑_GBK" w:eastAsia="方正魏碑_GBK" w:cs="方正魏碑_GBK"/>
          <w:color w:val="ff0000"/>
          <w:sz w:val="28"/>
          <w:szCs w:val="28"/>
          <w:highlight w:val="none"/>
        </w:rPr>
        <w:t xml:space="preserve">.</w:t>
      </w:r>
      <w:r>
        <w:rPr>
          <w:rFonts w:hint="eastAsia" w:ascii="方正魏碑_GBK" w:hAnsi="方正魏碑_GBK" w:eastAsia="方正魏碑_GBK" w:cs="方正魏碑_GBK"/>
          <w:color w:val="ff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color w:val="ff0000"/>
          <w:sz w:val="28"/>
          <w:szCs w:val="28"/>
          <w:highlight w:val="none"/>
          <w:lang w:val="en-US" w:eastAsia="zh-CN"/>
        </w:rPr>
        <w:t xml:space="preserve">全部产品是指货物或服务采购项目或采购包中包含的全部货物、服务产品。</w:t>
      </w:r>
      <w:r/>
    </w:p>
    <w:p>
      <w:pP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4.投标人需认真填写本报价表，尤其注意规格型号的准确填写。</w:t>
      </w:r>
      <w:r/>
    </w:p>
    <w:p>
      <w:pPr>
        <w:spacing w:line="400" w:lineRule="exact"/>
        <w:rPr>
          <w:rFonts w:hint="eastAsia" w:ascii="宋体" w:hAnsi="宋体"/>
          <w:sz w:val="24"/>
          <w:szCs w:val="24"/>
          <w:highlight w:val="none"/>
        </w:rPr>
      </w:pPr>
      <w:r>
        <w:rPr>
          <w:rFonts w:hint="eastAsia" w:ascii="宋体" w:hAnsi="宋体"/>
          <w:sz w:val="24"/>
          <w:szCs w:val="21"/>
          <w:highlight w:val="none"/>
        </w:rPr>
        <w:t xml:space="preserve">5.项目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bCs/>
          <w:sz w:val="24"/>
          <w:szCs w:val="24"/>
          <w:highlight w:val="none"/>
        </w:rPr>
      </w:pPr>
      <w:r>
        <w:rPr>
          <w:rFonts w:hint="eastAsia" w:ascii="宋体" w:hAnsi="宋体"/>
          <w:b/>
          <w:bCs/>
          <w:sz w:val="24"/>
          <w:szCs w:val="24"/>
          <w:highlight w:val="none"/>
        </w:rPr>
      </w:r>
      <w:r/>
    </w:p>
    <w:p>
      <w:pPr>
        <w:jc w:val="center"/>
        <w:rPr>
          <w:rFonts w:hint="eastAsia" w:ascii="宋体" w:hAnsi="宋体"/>
          <w:b/>
          <w:bCs/>
          <w:sz w:val="24"/>
          <w:szCs w:val="24"/>
          <w:highlight w:val="none"/>
        </w:rPr>
      </w:pPr>
      <w:r>
        <w:rPr>
          <w:rFonts w:hint="eastAsia" w:ascii="宋体" w:hAnsi="宋体"/>
          <w:b/>
          <w:bCs/>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outlineLvl w:val="0"/>
      </w:pPr>
      <w:r/>
      <w:bookmarkStart w:id="302" w:name="_Toc11660"/>
      <w:r/>
      <w:bookmarkStart w:id="303" w:name="_Toc19749"/>
      <w:r/>
      <w:bookmarkEnd w:id="286"/>
      <w:bookmarkEnd w:id="287"/>
      <w:bookmarkEnd w:id="288"/>
      <w:bookmarkEnd w:id="302"/>
      <w:bookmarkEnd w:id="303"/>
      <w:r/>
    </w:p>
    <w:p>
      <w:pPr>
        <w:jc w:val="both"/>
        <w:rPr>
          <w:rFonts w:hint="eastAsia" w:ascii="宋体" w:hAnsi="宋体" w:eastAsia="宋体" w:cs="Times New Roman"/>
          <w:b/>
          <w:sz w:val="24"/>
          <w:szCs w:val="24"/>
          <w:highlight w:val="none"/>
        </w:rPr>
        <w:outlineLvl w:val="0"/>
      </w:pPr>
      <w:r/>
      <w:bookmarkStart w:id="304" w:name="_Toc28665"/>
      <w:r/>
      <w:bookmarkStart w:id="305" w:name="_Toc24462"/>
      <w:r/>
      <w:bookmarkStart w:id="306" w:name="_Toc9311"/>
      <w:r/>
      <w:bookmarkStart w:id="307" w:name="_Toc120614284"/>
      <w:r>
        <w:rPr>
          <w:rFonts w:hint="eastAsia" w:ascii="宋体" w:hAnsi="宋体" w:eastAsia="宋体" w:cs="Times New Roman"/>
          <w:b/>
          <w:sz w:val="24"/>
          <w:szCs w:val="24"/>
          <w:highlight w:val="none"/>
          <w:lang w:val="en-US" w:eastAsia="zh-CN"/>
        </w:rPr>
        <w:t xml:space="preserve">附件3  </w:t>
      </w:r>
      <w:r>
        <w:rPr>
          <w:rFonts w:hint="eastAsia" w:ascii="宋体" w:hAnsi="宋体" w:eastAsia="宋体" w:cs="Times New Roman"/>
          <w:b/>
          <w:sz w:val="24"/>
          <w:szCs w:val="24"/>
          <w:highlight w:val="none"/>
        </w:rPr>
        <w:t xml:space="preserve">供应商资格条件证明文件</w:t>
      </w:r>
      <w:bookmarkEnd w:id="304"/>
      <w:r/>
      <w:r/>
    </w:p>
    <w:p>
      <w:pPr>
        <w:ind w:firstLine="480"/>
        <w:jc w:val="center"/>
        <w:spacing w:line="400" w:lineRule="exact"/>
        <w:tabs>
          <w:tab w:val="left" w:pos="360" w:leader="none"/>
        </w:tabs>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供应商基本资格条件承诺函</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一、按照</w:t>
      </w:r>
      <w:r>
        <w:rPr>
          <w:rFonts w:hint="eastAsia" w:ascii="Times New Roman" w:hAnsi="Times New Roman" w:eastAsia="宋体" w:cs="Times New Roman"/>
          <w:color w:val="000000"/>
          <w:sz w:val="24"/>
          <w:szCs w:val="24"/>
          <w:highlight w:val="none"/>
          <w:lang w:eastAsia="zh-CN"/>
        </w:rPr>
        <w:t xml:space="preserve">《中华人民共和国政府采购法》</w:t>
      </w:r>
      <w:r>
        <w:rPr>
          <w:rFonts w:hint="eastAsia" w:ascii="Times New Roman" w:hAnsi="Times New Roman" w:eastAsia="宋体" w:cs="Times New Roman"/>
          <w:color w:val="000000"/>
          <w:sz w:val="24"/>
          <w:szCs w:val="24"/>
          <w:highlight w:val="none"/>
        </w:rPr>
        <w:t xml:space="preserve">第二十二条规定的供应商基本资格条件，我公司郑重承诺如下：</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1.我公司具有良好的商业信誉和健全的财务制度；</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2.我公司具有履行合同</w:t>
      </w:r>
      <w:r>
        <w:rPr>
          <w:rFonts w:hint="eastAsia" w:ascii="Times New Roman" w:hAnsi="Times New Roman" w:eastAsia="宋体" w:cs="Times New Roman"/>
          <w:color w:val="000000"/>
          <w:sz w:val="24"/>
          <w:szCs w:val="24"/>
          <w:highlight w:val="none"/>
          <w:lang w:eastAsia="zh-CN"/>
        </w:rPr>
        <w:t xml:space="preserve">所必需的</w:t>
      </w:r>
      <w:r>
        <w:rPr>
          <w:rFonts w:hint="eastAsia" w:ascii="Times New Roman" w:hAnsi="Times New Roman" w:eastAsia="宋体" w:cs="Times New Roman"/>
          <w:color w:val="000000"/>
          <w:sz w:val="24"/>
          <w:szCs w:val="24"/>
          <w:highlight w:val="none"/>
        </w:rPr>
        <w:t xml:space="preserve">设备和专业技术能力；</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3.我公司具有依法缴纳税收和社会保障资金的良好记录；</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4.我公司参加政府采购活动前三年内，在经营活动中没有重大违法记录；</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5.我公司未</w:t>
      </w:r>
      <w:r>
        <w:rPr>
          <w:rFonts w:hint="eastAsia" w:ascii="Times New Roman" w:hAnsi="Times New Roman" w:eastAsia="宋体" w:cs="Times New Roman"/>
          <w:color w:val="000000"/>
          <w:sz w:val="24"/>
          <w:szCs w:val="24"/>
          <w:highlight w:val="none"/>
          <w:lang w:eastAsia="zh-CN"/>
        </w:rPr>
        <w:t xml:space="preserve">列入</w:t>
      </w:r>
      <w:r>
        <w:rPr>
          <w:rFonts w:hint="eastAsia" w:ascii="Times New Roman" w:hAnsi="Times New Roman" w:eastAsia="宋体" w:cs="Times New Roman"/>
          <w:color w:val="000000"/>
          <w:sz w:val="24"/>
          <w:szCs w:val="24"/>
          <w:highlight w:val="none"/>
        </w:rPr>
        <w:t xml:space="preserve">信用中国网站（www.creditchina.gov.cn）“失信被执行人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重大税收违法案件当事人名单”中，也未列入中国政府采购网（www.ccgp.gov.cn）“政府采购严重违法失信行为记录名单”中。</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Times New Roman" w:hAnsi="Times New Roman" w:eastAsia="宋体" w:cs="Times New Roman"/>
          <w:color w:val="000000"/>
          <w:sz w:val="24"/>
          <w:szCs w:val="24"/>
          <w:highlight w:val="none"/>
        </w:rPr>
        <w:t xml:space="preserve">二、我公司承诺：在本次投标过程中，我公司不存在</w:t>
      </w:r>
      <w:r>
        <w:rPr>
          <w:rFonts w:hint="eastAsia" w:ascii="宋体" w:hAnsi="宋体" w:eastAsia="宋体" w:cs="宋体"/>
          <w:color w:val="000000"/>
          <w:sz w:val="24"/>
          <w:highlight w:val="none"/>
          <w:lang w:val="en-US" w:eastAsia="zh-CN"/>
        </w:rPr>
        <w:t xml:space="preserve">下述情形：</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2.除单一来源采购项目外，为采购项目提供整体设计、规范编制或者项目管理、监理、检测等服务的。</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highlight w:val="none"/>
          <w:lang w:val="en-US" w:eastAsia="zh-CN"/>
        </w:rPr>
        <w:t xml:space="preserve">3.法人的分支机构不得参加政府采购活动（银行、保险、石油石化、电力、电信等有行业特殊情况的除外）。</w:t>
      </w:r>
      <w:r/>
    </w:p>
    <w:p>
      <w:pPr>
        <w:ind w:firstLine="480"/>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jc w:val="right"/>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投标人名称</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盖法人章</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p>
    <w:p>
      <w:pPr>
        <w:ind w:firstLine="480"/>
        <w:jc w:val="right"/>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 </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签字或签章</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p>
    <w:p>
      <w:pPr>
        <w:ind w:firstLine="480"/>
        <w:jc w:val="right"/>
        <w:spacing w:line="400" w:lineRule="exact"/>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hint="eastAsia" w:ascii="宋体" w:hAnsi="宋体"/>
          <w:b/>
          <w:bCs/>
          <w:color w:val="000000"/>
          <w:sz w:val="24"/>
          <w:szCs w:val="24"/>
          <w:highlight w:val="none"/>
        </w:rPr>
        <w:outlineLvl w:val="0"/>
      </w:pPr>
      <w:r>
        <w:rPr>
          <w:rFonts w:hint="eastAsia" w:ascii="宋体" w:hAnsi="宋体"/>
          <w:b/>
          <w:bCs/>
          <w:color w:val="000000"/>
          <w:sz w:val="24"/>
          <w:szCs w:val="24"/>
          <w:highlight w:val="none"/>
        </w:rPr>
      </w:r>
      <w:r/>
    </w:p>
    <w:p>
      <w:pPr>
        <w:spacing w:line="460" w:lineRule="exact"/>
        <w:rPr>
          <w:rFonts w:hint="eastAsia" w:ascii="宋体" w:hAnsi="宋体"/>
          <w:b/>
          <w:bCs/>
          <w:color w:val="000000"/>
          <w:sz w:val="24"/>
          <w:szCs w:val="24"/>
          <w:highlight w:val="none"/>
        </w:rPr>
        <w:outlineLvl w:val="0"/>
      </w:pPr>
      <w:r>
        <w:rPr>
          <w:rFonts w:hint="eastAsia" w:ascii="宋体" w:hAnsi="宋体"/>
          <w:b/>
          <w:bCs/>
          <w:color w:val="000000"/>
          <w:sz w:val="24"/>
          <w:szCs w:val="24"/>
          <w:highlight w:val="none"/>
        </w:rPr>
      </w:r>
      <w:r/>
    </w:p>
    <w:p>
      <w:pPr>
        <w:spacing w:line="460" w:lineRule="exact"/>
        <w:rPr>
          <w:rFonts w:hint="eastAsia" w:ascii="宋体" w:hAnsi="宋体"/>
          <w:b/>
          <w:bCs/>
          <w:color w:val="000000"/>
          <w:sz w:val="24"/>
          <w:szCs w:val="24"/>
          <w:highlight w:val="none"/>
        </w:rPr>
        <w:outlineLvl w:val="0"/>
      </w:pPr>
      <w:r>
        <w:rPr>
          <w:rFonts w:hint="eastAsia" w:ascii="宋体" w:hAnsi="宋体"/>
          <w:b/>
          <w:bCs/>
          <w:color w:val="000000"/>
          <w:sz w:val="24"/>
          <w:szCs w:val="24"/>
          <w:highlight w:val="none"/>
        </w:rPr>
      </w:r>
      <w:r/>
    </w:p>
    <w:p>
      <w:pPr>
        <w:spacing w:line="460" w:lineRule="exact"/>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spacing w:line="460" w:lineRule="exact"/>
        <w:rPr>
          <w:rFonts w:ascii="宋体" w:hAnsi="宋体"/>
          <w:b/>
          <w:color w:val="000000"/>
          <w:sz w:val="24"/>
          <w:szCs w:val="21"/>
          <w:highlight w:val="none"/>
        </w:rPr>
        <w:outlineLvl w:val="0"/>
      </w:pPr>
      <w:r/>
      <w:bookmarkStart w:id="308" w:name="_Toc25231"/>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4</w:t>
      </w:r>
      <w:bookmarkEnd w:id="308"/>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p>
    <w:p>
      <w:pPr>
        <w:ind w:firstLine="480"/>
        <w:jc w:val="center"/>
        <w:spacing w:line="460" w:lineRule="exact"/>
        <w:rPr>
          <w:rFonts w:hint="eastAsia" w:ascii="宋体" w:hAnsi="宋体"/>
          <w:bCs/>
          <w:color w:val="000000"/>
          <w:sz w:val="24"/>
          <w:szCs w:val="21"/>
          <w:highlight w:val="none"/>
        </w:rPr>
        <w:outlineLvl w:val="0"/>
      </w:pPr>
      <w:r/>
      <w:bookmarkStart w:id="309" w:name="_Toc31706"/>
      <w:r>
        <w:rPr>
          <w:rFonts w:hint="eastAsia" w:ascii="宋体" w:hAnsi="宋体"/>
          <w:b/>
          <w:color w:val="000000"/>
          <w:sz w:val="24"/>
          <w:szCs w:val="21"/>
          <w:highlight w:val="none"/>
        </w:rPr>
        <w:t xml:space="preserve">法人授权书</w:t>
      </w:r>
      <w:bookmarkEnd w:id="305"/>
      <w:r/>
      <w:bookmarkEnd w:id="306"/>
      <w:r/>
      <w:bookmarkEnd w:id="309"/>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p>
    <w:p>
      <w:pPr>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310" w:name="_格式3__银行出具的资信证明"/>
      <w:r/>
      <w:bookmarkEnd w:id="310"/>
      <w:r/>
      <w:bookmarkStart w:id="311" w:name="_Hlt26955070"/>
      <w:r/>
      <w:bookmarkEnd w:id="311"/>
      <w:r/>
      <w:bookmarkStart w:id="312" w:name="_Hlt26671380"/>
      <w:r/>
      <w:bookmarkEnd w:id="312"/>
      <w:r>
        <w:rPr>
          <w:rFonts w:hint="eastAsia"/>
          <w:color w:val="000000"/>
          <w:sz w:val="24"/>
          <w:szCs w:val="24"/>
          <w:highlight w:val="none"/>
          <w:u w:val="single"/>
        </w:rPr>
        <w:t xml:space="preserve">                                         </w:t>
      </w:r>
      <w:r/>
    </w:p>
    <w:p>
      <w:pPr>
        <w:ind w:firstLine="360"/>
        <w:spacing w:line="400" w:lineRule="exact"/>
        <w:rPr>
          <w:color w:val="000000"/>
          <w:sz w:val="24"/>
          <w:szCs w:val="24"/>
          <w:highlight w:val="none"/>
        </w:rPr>
      </w:pPr>
      <w:r>
        <w:rPr>
          <w:color w:val="000000"/>
          <w:sz w:val="24"/>
          <w:szCs w:val="24"/>
          <w:highlight w:val="none"/>
        </w:rPr>
      </w:r>
      <w:r/>
    </w:p>
    <w:p>
      <w:pPr>
        <w:keepLines/>
        <w:keepNext/>
        <w:spacing w:before="260" w:after="260" w:line="416" w:lineRule="auto"/>
        <w:rPr>
          <w:rFonts w:hint="eastAsia" w:ascii="宋体" w:hAnsi="宋体"/>
          <w:b/>
          <w:color w:val="000000"/>
          <w:sz w:val="24"/>
          <w:szCs w:val="21"/>
          <w:highlight w:val="none"/>
        </w:rPr>
        <w:outlineLvl w:val="0"/>
      </w:pPr>
      <w:r/>
      <w:bookmarkStart w:id="313" w:name="_Toc21480"/>
      <w:r/>
      <w:bookmarkStart w:id="314" w:name="_Toc18965"/>
      <w:r>
        <w:rPr>
          <w:rFonts w:ascii="宋体" w:hAnsi="宋体" w:eastAsia="宋体" w:cs="宋体"/>
          <w:b/>
          <w:color w:val="000000"/>
          <w:sz w:val="24"/>
          <w:highlight w:val="none"/>
        </w:rPr>
        <w:t xml:space="preserve">附法定代表人及授权代表身份证复印件</w:t>
      </w:r>
      <w:r/>
    </w:p>
    <w:p>
      <w:pPr>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keepLines/>
        <w:keepNext/>
        <w:spacing w:before="260" w:after="260" w:line="416" w:lineRule="auto"/>
        <w:rPr>
          <w:rFonts w:hint="eastAsia" w:ascii="宋体" w:hAnsi="宋体"/>
          <w:b/>
          <w:color w:val="000000"/>
          <w:sz w:val="24"/>
          <w:szCs w:val="21"/>
          <w:highlight w:val="none"/>
        </w:rPr>
        <w:outlineLvl w:val="0"/>
      </w:pPr>
      <w:r>
        <w:rPr>
          <w:rFonts w:hint="eastAsia" w:ascii="宋体" w:hAnsi="宋体"/>
          <w:b/>
          <w:color w:val="000000"/>
          <w:sz w:val="24"/>
          <w:szCs w:val="21"/>
          <w:highlight w:val="none"/>
        </w:rPr>
      </w:r>
      <w:r/>
    </w:p>
    <w:p>
      <w:pPr>
        <w:keepLines/>
        <w:keepNext/>
        <w:spacing w:before="260" w:after="260" w:line="416" w:lineRule="auto"/>
        <w:rPr>
          <w:rFonts w:hint="eastAsia" w:ascii="宋体" w:hAnsi="宋体"/>
          <w:b/>
          <w:color w:val="000000"/>
          <w:sz w:val="24"/>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ascii="宋体" w:hAnsi="宋体"/>
          <w:b/>
          <w:color w:val="000000"/>
          <w:sz w:val="24"/>
          <w:szCs w:val="21"/>
          <w:highlight w:val="none"/>
        </w:rPr>
      </w:r>
      <w:r/>
    </w:p>
    <w:p>
      <w:pPr>
        <w:keepLines/>
        <w:keepNext/>
        <w:spacing w:before="260" w:after="260" w:line="416" w:lineRule="auto"/>
        <w:rPr>
          <w:rFonts w:ascii="黑体" w:hAnsi="黑体" w:eastAsia="黑体"/>
          <w:b/>
          <w:i/>
          <w:color w:val="000000"/>
          <w:sz w:val="32"/>
          <w:szCs w:val="32"/>
          <w:highlight w:val="none"/>
          <w:u w:val="single"/>
        </w:rPr>
        <w:outlineLvl w:val="0"/>
      </w:pPr>
      <w:r/>
      <w:bookmarkStart w:id="315" w:name="_Toc5958"/>
      <w:r>
        <w:rPr>
          <w:rFonts w:hint="eastAsia" w:ascii="宋体" w:hAnsi="宋体"/>
          <w:b/>
          <w:color w:val="000000"/>
          <w:sz w:val="24"/>
          <w:szCs w:val="21"/>
          <w:highlight w:val="none"/>
        </w:rPr>
        <w:t xml:space="preserve">附件</w:t>
      </w:r>
      <w:r>
        <w:rPr>
          <w:rFonts w:hint="eastAsia" w:ascii="宋体" w:hAnsi="宋体"/>
          <w:b/>
          <w:color w:val="000000"/>
          <w:sz w:val="24"/>
          <w:szCs w:val="21"/>
          <w:highlight w:val="none"/>
          <w:lang w:val="en-US" w:eastAsia="zh-CN"/>
        </w:rPr>
        <w:t xml:space="preserve">5</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投标函</w:t>
      </w:r>
      <w:bookmarkEnd w:id="313"/>
      <w:r/>
      <w:bookmarkEnd w:id="314"/>
      <w:r/>
      <w:bookmarkEnd w:id="315"/>
      <w:r/>
      <w:r/>
    </w:p>
    <w:p>
      <w:pPr>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采购人或代理机构</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w:t>
      </w:r>
      <w:r>
        <w:rPr>
          <w:rFonts w:hint="eastAsia" w:ascii="宋体" w:hAnsi="宋体"/>
          <w:color w:val="000000"/>
          <w:sz w:val="24"/>
          <w:szCs w:val="21"/>
          <w:highlight w:val="none"/>
          <w:lang w:eastAsia="zh-CN"/>
        </w:rPr>
        <w:t xml:space="preserve">间内</w:t>
      </w:r>
      <w:r>
        <w:rPr>
          <w:rFonts w:hint="eastAsia" w:ascii="宋体" w:hAnsi="宋体"/>
          <w:color w:val="000000"/>
          <w:sz w:val="24"/>
          <w:szCs w:val="21"/>
          <w:highlight w:val="none"/>
        </w:rPr>
        <w:t xml:space="preserve">完成项目，交付买方验收、使用。</w:t>
      </w:r>
      <w:r/>
    </w:p>
    <w:p>
      <w:pPr>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spacing w:line="560" w:lineRule="exact"/>
        <w:rPr>
          <w:rFonts w:ascii="宋体" w:hAnsi="宋体"/>
          <w:b/>
          <w:color w:val="ff0000"/>
          <w:sz w:val="24"/>
          <w:szCs w:val="21"/>
          <w:highlight w:val="none"/>
        </w:rPr>
      </w:pPr>
      <w:r>
        <w:rPr>
          <w:rFonts w:ascii="宋体" w:hAnsi="宋体"/>
          <w:b/>
          <w:color w:val="ff0000"/>
          <w:sz w:val="24"/>
          <w:szCs w:val="21"/>
          <w:highlight w:val="none"/>
        </w:rPr>
      </w:r>
      <w:r/>
    </w:p>
    <w:p>
      <w:pPr>
        <w:jc w:val="both"/>
        <w:spacing w:line="560" w:lineRule="exact"/>
        <w:rPr>
          <w:rFonts w:hint="eastAsia" w:ascii="宋体" w:hAnsi="宋体"/>
          <w:b/>
          <w:sz w:val="24"/>
          <w:szCs w:val="21"/>
          <w:highlight w:val="none"/>
        </w:rPr>
        <w:outlineLvl w:val="0"/>
      </w:pPr>
      <w:r/>
      <w:bookmarkStart w:id="316" w:name="_Toc8580"/>
      <w:r/>
      <w:bookmarkStart w:id="317" w:name="_Toc20954"/>
      <w:r/>
      <w:r/>
    </w:p>
    <w:p>
      <w:pPr>
        <w:jc w:val="both"/>
        <w:spacing w:line="560" w:lineRule="exact"/>
        <w:rPr>
          <w:rFonts w:hint="eastAsia" w:ascii="宋体" w:hAnsi="宋体"/>
          <w:b/>
          <w:sz w:val="24"/>
          <w:szCs w:val="21"/>
          <w:highlight w:val="none"/>
        </w:rPr>
        <w:outlineLvl w:val="0"/>
      </w:pPr>
      <w:r/>
      <w:bookmarkStart w:id="318" w:name="_Toc8140"/>
      <w:r>
        <w:rPr>
          <w:rFonts w:hint="eastAsia" w:ascii="宋体" w:hAnsi="宋体"/>
          <w:b/>
          <w:sz w:val="24"/>
          <w:szCs w:val="21"/>
          <w:highlight w:val="none"/>
        </w:rPr>
        <w:t xml:space="preserve">附件</w:t>
      </w:r>
      <w:r>
        <w:rPr>
          <w:rFonts w:hint="eastAsia" w:ascii="宋体" w:hAnsi="宋体"/>
          <w:b/>
          <w:sz w:val="24"/>
          <w:szCs w:val="21"/>
          <w:highlight w:val="none"/>
          <w:lang w:val="en-US" w:eastAsia="zh-CN"/>
        </w:rPr>
        <w:t xml:space="preserve">6</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rPr>
        <w:t xml:space="preserve">中小微企业声明函（货物类项目）</w:t>
      </w:r>
      <w:bookmarkEnd w:id="316"/>
      <w:r/>
      <w:bookmarkEnd w:id="317"/>
      <w:r/>
      <w:bookmarkEnd w:id="318"/>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lang w:eastAsia="zh-CN"/>
        </w:rPr>
        <w:t xml:space="preserve">采购人或代理机构</w:t>
      </w:r>
      <w:r>
        <w:rPr>
          <w:rFonts w:hint="eastAsia" w:ascii="宋体" w:hAnsi="宋体"/>
          <w:sz w:val="24"/>
          <w:szCs w:val="24"/>
          <w:highlight w:val="none"/>
        </w:rPr>
        <w:t xml:space="preserve">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hint="eastAsia" w:ascii="宋体" w:hAnsi="宋体"/>
          <w:sz w:val="24"/>
          <w:szCs w:val="24"/>
          <w:highlight w:val="none"/>
        </w:rPr>
      </w:pPr>
      <w:r>
        <w:rPr>
          <w:rFonts w:hint="eastAsia" w:ascii="宋体" w:hAnsi="宋体"/>
          <w:sz w:val="24"/>
          <w:szCs w:val="24"/>
          <w:highlight w:val="none"/>
        </w:rPr>
      </w:r>
      <w:r/>
    </w:p>
    <w:p>
      <w:pPr>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48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rPr>
          <w:rFonts w:hint="eastAsia"/>
          <w:color w:val="000000"/>
          <w:szCs w:val="21"/>
          <w:highlight w:val="none"/>
        </w:rPr>
      </w:pPr>
      <w:r>
        <w:rPr>
          <w:rFonts w:hint="eastAsia" w:ascii="宋体" w:hAnsi="宋体"/>
          <w:sz w:val="24"/>
          <w:szCs w:val="24"/>
          <w:highlight w:val="none"/>
        </w:rPr>
        <w:t xml:space="preserve">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工信部联企业〔2011〕300号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宋体" w:hAnsi="宋体"/>
          <w:color w:val="ff0000"/>
          <w:sz w:val="24"/>
          <w:szCs w:val="24"/>
          <w:highlight w:val="none"/>
        </w:rPr>
        <w:t xml:space="preserve">                                    </w:t>
      </w:r>
      <w:r/>
    </w:p>
    <w:p>
      <w:pPr>
        <w:jc w:val="center"/>
        <w:rPr>
          <w:rFonts w:hint="eastAsia" w:ascii="宋体" w:hAnsi="宋体"/>
          <w:b/>
          <w:sz w:val="24"/>
          <w:szCs w:val="24"/>
          <w:highlight w:val="none"/>
        </w:rPr>
        <w:outlineLvl w:val="0"/>
      </w:pPr>
      <w:r/>
      <w:bookmarkStart w:id="319" w:name="_Toc9989"/>
      <w:r/>
      <w:bookmarkStart w:id="320" w:name="_Toc20780"/>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center"/>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bookmarkStart w:id="321" w:name="_Toc971"/>
      <w:r/>
      <w:r/>
    </w:p>
    <w:p>
      <w:pPr>
        <w:jc w:val="both"/>
        <w:rPr>
          <w:rFonts w:hint="eastAsia" w:ascii="宋体" w:hAnsi="宋体"/>
          <w:b/>
          <w:sz w:val="24"/>
          <w:szCs w:val="24"/>
          <w:highlight w:val="none"/>
        </w:rPr>
        <w:outlineLvl w:val="0"/>
      </w:pPr>
      <w:r>
        <w:rPr>
          <w:rFonts w:hint="eastAsia" w:ascii="宋体" w:hAnsi="宋体"/>
          <w:b/>
          <w:sz w:val="24"/>
          <w:szCs w:val="24"/>
          <w:highlight w:val="none"/>
        </w:rPr>
      </w:r>
      <w:r/>
    </w:p>
    <w:p>
      <w:pPr>
        <w:jc w:val="both"/>
        <w:rPr>
          <w:rFonts w:hint="eastAsia" w:ascii="宋体" w:hAnsi="宋体"/>
          <w:b/>
          <w:sz w:val="24"/>
          <w:szCs w:val="24"/>
          <w:highlight w:val="none"/>
        </w:rPr>
        <w:outlineLvl w:val="0"/>
      </w:pPr>
      <w:r>
        <w:rPr>
          <w:rFonts w:hint="eastAsia" w:ascii="宋体" w:hAnsi="宋体"/>
          <w:b/>
          <w:sz w:val="24"/>
          <w:szCs w:val="24"/>
          <w:highlight w:val="none"/>
        </w:rPr>
        <w:t xml:space="preserve">附件</w:t>
      </w:r>
      <w:r>
        <w:rPr>
          <w:rFonts w:hint="eastAsia" w:ascii="宋体" w:hAnsi="宋体"/>
          <w:b/>
          <w:sz w:val="24"/>
          <w:szCs w:val="24"/>
          <w:highlight w:val="none"/>
          <w:lang w:val="en-US" w:eastAsia="zh-CN"/>
        </w:rPr>
        <w:t xml:space="preserve">7</w:t>
      </w:r>
      <w:bookmarkEnd w:id="319"/>
      <w:r/>
      <w:bookmarkEnd w:id="320"/>
      <w:r/>
      <w:bookmarkEnd w:id="321"/>
      <w:r>
        <w:rPr>
          <w:rFonts w:hint="eastAsia" w:ascii="宋体" w:hAnsi="宋体" w:eastAsia="宋体" w:cs="Times New Roman"/>
          <w:b/>
          <w:sz w:val="24"/>
          <w:szCs w:val="24"/>
          <w:highlight w:val="none"/>
        </w:rPr>
        <w:t xml:space="preserve">技术条款响应及偏离表</w:t>
      </w:r>
      <w:r/>
    </w:p>
    <w:tbl>
      <w:tblPr>
        <w:tblStyle w:val="77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W w:w="959" w:type="dxa"/>
            <w:vAlign w:val="center"/>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1267" w:type="dxa"/>
            <w:vAlign w:val="center"/>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p>
        </w:tc>
        <w:tc>
          <w:tcPr>
            <w:tcW w:w="2392" w:type="dxa"/>
            <w:vAlign w:val="center"/>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w:t>
            </w:r>
            <w:r/>
          </w:p>
        </w:tc>
        <w:tc>
          <w:tcPr>
            <w:tcW w:w="2720" w:type="dxa"/>
            <w:vAlign w:val="center"/>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文件响应情况</w:t>
            </w:r>
            <w:r/>
          </w:p>
        </w:tc>
        <w:tc>
          <w:tcPr>
            <w:tcW w:w="1417" w:type="dxa"/>
            <w:vAlign w:val="center"/>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偏离说明</w:t>
            </w:r>
            <w:r/>
          </w:p>
        </w:tc>
      </w:tr>
      <w:tr>
        <w:trPr>
          <w:jc w:val="center"/>
          <w:trHeight w:val="414"/>
        </w:trPr>
        <w:tc>
          <w:tcPr>
            <w:tcW w:w="959" w:type="dxa"/>
            <w:vAlign w:val="top"/>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267"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48"/>
        </w:trPr>
        <w:tc>
          <w:tcPr>
            <w:tcW w:w="959" w:type="dxa"/>
            <w:vAlign w:val="top"/>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267"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00"/>
        </w:trPr>
        <w:tc>
          <w:tcPr>
            <w:tcW w:w="959" w:type="dxa"/>
            <w:vAlign w:val="top"/>
            <w:textDirection w:val="lrTb"/>
            <w:noWrap w:val="false"/>
          </w:tcPr>
          <w:p>
            <w:pPr>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1267"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19"/>
        </w:trPr>
        <w:tc>
          <w:tcPr>
            <w:tcW w:w="959" w:type="dxa"/>
            <w:vAlign w:val="top"/>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7"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p>
    <w:p>
      <w:pPr>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1.投标</w:t>
      </w:r>
      <w:r>
        <w:rPr>
          <w:rFonts w:hint="eastAsia" w:ascii="宋体" w:hAnsi="宋体" w:cs="宋体"/>
          <w:color w:val="000000"/>
          <w:szCs w:val="21"/>
          <w:highlight w:val="none"/>
        </w:rPr>
        <w:t xml:space="preserve">人提交的</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文件应</w:t>
      </w:r>
      <w:r>
        <w:rPr>
          <w:rFonts w:hint="eastAsia" w:ascii="宋体" w:hAnsi="宋体" w:cs="宋体"/>
          <w:color w:val="000000"/>
          <w:szCs w:val="21"/>
          <w:highlight w:val="none"/>
          <w:lang w:val="en-US" w:eastAsia="zh-CN"/>
        </w:rPr>
        <w:t xml:space="preserve">对技术条款</w:t>
      </w:r>
      <w:r>
        <w:rPr>
          <w:rFonts w:hint="eastAsia" w:ascii="宋体" w:hAnsi="宋体" w:cs="宋体"/>
          <w:color w:val="000000"/>
          <w:szCs w:val="21"/>
          <w:highlight w:val="none"/>
        </w:rPr>
        <w:t xml:space="preserve">逐条填列在偏离表中。</w:t>
      </w:r>
      <w:r/>
    </w:p>
    <w:p>
      <w:pPr>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“偏离说明”一栏选择“正偏离</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负偏离”</w:t>
      </w:r>
      <w:r>
        <w:rPr>
          <w:rFonts w:hint="eastAsia" w:ascii="宋体" w:hAnsi="宋体" w:cs="宋体"/>
          <w:color w:val="000000"/>
          <w:szCs w:val="21"/>
          <w:highlight w:val="none"/>
          <w:lang w:eastAsia="zh-CN"/>
        </w:rPr>
        <w:t xml:space="preserve">“无偏离”</w:t>
      </w:r>
      <w:r>
        <w:rPr>
          <w:rFonts w:hint="eastAsia" w:ascii="宋体" w:hAnsi="宋体" w:cs="宋体"/>
          <w:color w:val="000000"/>
          <w:szCs w:val="21"/>
          <w:highlight w:val="none"/>
        </w:rPr>
        <w:t xml:space="preserve">进行填写。正偏离的确认和负偏离的是否响应</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文件，经三分之二评委认定。</w:t>
      </w:r>
      <w:r/>
    </w:p>
    <w:p>
      <w:pPr>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sz w:val="24"/>
          <w:szCs w:val="24"/>
          <w:highlight w:val="none"/>
        </w:rPr>
      </w:pPr>
      <w:r>
        <w:rPr>
          <w:rFonts w:hint="eastAsia" w:ascii="宋体" w:hAnsi="宋体" w:cs="宋体"/>
          <w:color w:val="000000"/>
          <w:szCs w:val="21"/>
          <w:highlight w:val="none"/>
        </w:rPr>
        <w:t xml:space="preserve">4.供应商若提供其他增值服务，可以在表中自行据实填写。</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投标人名称（盖章）：</w:t>
      </w:r>
      <w:r/>
    </w:p>
    <w:p>
      <w:pPr>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法人或授权委托人（签字或盖章）：</w:t>
      </w:r>
      <w:r/>
    </w:p>
    <w:p>
      <w:pPr>
        <w:ind w:firstLine="4830"/>
        <w:spacing w:line="400" w:lineRule="exact"/>
        <w:rPr>
          <w:rFonts w:hint="eastAsia" w:ascii="宋体" w:hAnsi="宋体"/>
          <w:sz w:val="24"/>
          <w:szCs w:val="24"/>
          <w:highlight w:val="none"/>
        </w:rPr>
      </w:pP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期：</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jc w:val="center"/>
        <w:rPr>
          <w:rFonts w:hint="eastAsia" w:ascii="方正魏碑_GBK" w:hAnsi="方正魏碑_GBK" w:eastAsia="方正魏碑_GBK" w:cs="方正魏碑_GBK"/>
          <w:b/>
          <w:color w:val="ff0000"/>
          <w:sz w:val="24"/>
          <w:szCs w:val="24"/>
          <w:highlight w:val="none"/>
        </w:rPr>
        <w:outlineLvl w:val="0"/>
      </w:pPr>
      <w:r/>
      <w:bookmarkStart w:id="322" w:name="_Toc17690"/>
      <w:r/>
      <w:bookmarkStart w:id="323" w:name="_Toc11806"/>
      <w:r/>
      <w:r/>
    </w:p>
    <w:p>
      <w:pPr>
        <w:pStyle w:val="797"/>
        <w:ind w:left="0" w:right="0"/>
        <w:jc w:val="both"/>
        <w:keepLines w:val="0"/>
        <w:keepNext w:val="0"/>
        <w:spacing w:before="15" w:beforeAutospacing="0" w:after="15" w:afterAutospacing="0"/>
        <w:shd w:val="clear" w:color="auto" w:fill="ffffff"/>
        <w:widowControl/>
        <w:rPr>
          <w:rFonts w:hint="eastAsia" w:ascii="方正魏碑_GBK" w:hAnsi="方正魏碑_GBK" w:eastAsia="方正魏碑_GBK" w:cs="方正魏碑_GBK"/>
          <w:b/>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bookmarkStart w:id="324" w:name="_Toc17840"/>
      <w:r>
        <w:rPr>
          <w:rFonts w:hint="eastAsia" w:ascii="方正魏碑_GBK" w:hAnsi="方正魏碑_GBK" w:eastAsia="方正魏碑_GBK" w:cs="方正魏碑_GBK"/>
          <w:b/>
          <w:color w:val="000000" w:themeColor="text1"/>
          <w:sz w:val="24"/>
          <w:szCs w:val="24"/>
          <w:highlight w:val="none"/>
          <w14:textFill>
            <w14:solidFill>
              <w14:schemeClr w14:val="tx1"/>
            </w14:solidFill>
          </w14:textFill>
        </w:rPr>
        <w:t xml:space="preserve">附件</w:t>
      </w:r>
      <w:r>
        <w:rPr>
          <w:rFonts w:hint="eastAsia" w:ascii="方正魏碑_GBK" w:hAnsi="方正魏碑_GBK" w:eastAsia="方正魏碑_GBK" w:cs="方正魏碑_GBK"/>
          <w:b/>
          <w:color w:val="000000" w:themeColor="text1"/>
          <w:sz w:val="24"/>
          <w:szCs w:val="24"/>
          <w:highlight w:val="none"/>
          <w:lang w:val="en-US" w:eastAsia="zh-CN"/>
          <w14:textFill>
            <w14:solidFill>
              <w14:schemeClr w14:val="tx1"/>
            </w14:solidFill>
          </w14:textFill>
        </w:rPr>
        <w:t xml:space="preserve">8</w:t>
      </w:r>
      <w:r>
        <w:rPr>
          <w:rFonts w:hint="eastAsia" w:ascii="方正魏碑_GBK" w:hAnsi="方正魏碑_GBK" w:eastAsia="方正魏碑_GBK" w:cs="方正魏碑_GBK"/>
          <w:b/>
          <w:color w:val="000000" w:themeColor="text1"/>
          <w:sz w:val="24"/>
          <w:szCs w:val="24"/>
          <w:highlight w:val="none"/>
          <w14:textFill>
            <w14:solidFill>
              <w14:schemeClr w14:val="tx1"/>
            </w14:solidFill>
          </w14:textFill>
        </w:rPr>
        <w:t xml:space="preserve">  </w:t>
      </w:r>
      <w:bookmarkEnd w:id="322"/>
      <w:r/>
      <w:bookmarkEnd w:id="323"/>
      <w:r/>
      <w:bookmarkEnd w:id="324"/>
      <w:r/>
      <w:r/>
    </w:p>
    <w:p>
      <w:pPr>
        <w:pStyle w:val="797"/>
        <w:ind w:left="0" w:right="0"/>
        <w:jc w:val="center"/>
        <w:keepLines w:val="0"/>
        <w:keepNext w:val="0"/>
        <w:spacing w:before="15" w:beforeAutospacing="0" w:after="15"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797"/>
        <w:ind w:left="0" w:firstLine="420"/>
        <w:keepLines w:val="0"/>
        <w:keepNext w:val="0"/>
        <w:spacing w:before="15" w:beforeAutospacing="0" w:after="15"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97"/>
        <w:ind w:left="0" w:firstLine="420"/>
        <w:keepLines w:val="0"/>
        <w:keepNext w:val="0"/>
        <w:spacing w:before="0" w:beforeAutospacing="0" w:after="0" w:afterAutospacing="0" w:line="360" w:lineRule="auto"/>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79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79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79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797"/>
        <w:keepLines w:val="0"/>
        <w:keepNext w:val="0"/>
        <w:spacing w:before="30" w:beforeAutospacing="0" w:after="30" w:afterAutospacing="0" w:line="0" w:lineRule="atLeast"/>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shd w:val="clear" w:color="auto" w:fill="ffffff"/>
        </w:rPr>
        <w:t xml:space="preserve"> </w:t>
      </w:r>
      <w:r/>
    </w:p>
    <w:p>
      <w:pPr>
        <w:pStyle w:val="797"/>
        <w:jc w:val="right"/>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797"/>
        <w:jc w:val="center"/>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p>
    <w:p>
      <w:pPr>
        <w:pStyle w:val="797"/>
        <w:keepLines w:val="0"/>
        <w:keepNext w:val="0"/>
        <w:spacing w:before="30" w:beforeAutospacing="0" w:after="30" w:afterAutospacing="0" w:line="0" w:lineRule="atLeast"/>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shd w:val="clear" w:color="auto" w:fill="ffffff"/>
        </w:rPr>
        <w:t xml:space="preserve"> </w:t>
      </w:r>
      <w:r/>
    </w:p>
    <w:p>
      <w:pPr>
        <w:pStyle w:val="797"/>
        <w:keepLines w:val="0"/>
        <w:keepNext w:val="0"/>
        <w:spacing w:before="30" w:beforeAutospacing="0" w:after="30" w:afterAutospacing="0" w:line="0" w:lineRule="atLeast"/>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shd w:val="clear" w:color="auto" w:fill="ffffff"/>
        </w:rPr>
        <w:t xml:space="preserve"> </w:t>
      </w:r>
      <w:r/>
    </w:p>
    <w:p>
      <w:pPr>
        <w:pStyle w:val="797"/>
        <w:keepLines w:val="0"/>
        <w:keepNext w:val="0"/>
        <w:spacing w:before="30" w:beforeAutospacing="0" w:after="30" w:afterAutospacing="0" w:line="0" w:lineRule="atLeast"/>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p>
    <w:p>
      <w:pPr>
        <w:pStyle w:val="797"/>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797"/>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797"/>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p>
    <w:p>
      <w:pPr>
        <w:pStyle w:val="797"/>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p>
    <w:p>
      <w:pPr>
        <w:pStyle w:val="797"/>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p>
    <w:p>
      <w:pPr>
        <w:pStyle w:val="1013"/>
        <w:spacing w:before="30" w:beforeAutospacing="0" w:after="30" w:afterAutospacing="0" w:line="0" w:lineRule="atLeast"/>
        <w:rPr>
          <w:rFonts w:ascii="方正魏碑_GBK" w:hAnsi="方正魏碑_GBK" w:eastAsia="方正魏碑_GBK" w:cs="方正魏碑_GBK"/>
          <w:color w:val="ff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bookmarkEnd w:id="271"/>
      <w:bookmarkEnd w:id="272"/>
      <w:bookmarkEnd w:id="307"/>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方正魏碑_GBK" w:hAnsi="方正魏碑_GBK" w:eastAsia="方正魏碑_GBK" w:cs="方正魏碑_GBK"/>
          <w:b/>
          <w:color w:val="ff0000"/>
          <w:sz w:val="24"/>
          <w:szCs w:val="24"/>
          <w:highlight w:val="none"/>
        </w:rPr>
      </w:pPr>
      <w:r>
        <w:rPr>
          <w:rFonts w:hint="eastAsia" w:ascii="方正魏碑_GBK" w:hAnsi="方正魏碑_GBK" w:eastAsia="方正魏碑_GBK" w:cs="方正魏碑_GBK"/>
          <w:b/>
          <w:color w:val="ff0000"/>
          <w:sz w:val="24"/>
          <w:szCs w:val="24"/>
          <w:highlight w:val="none"/>
        </w:rPr>
        <w:br w:type="page" w:clear="all"/>
      </w:r>
      <w:r/>
    </w:p>
    <w:p>
      <w:pPr>
        <w:numPr>
          <w:ilvl w:val="0"/>
          <w:numId w:val="0"/>
        </w:numPr>
        <w:jc w:val="both"/>
        <w:pageBreakBefore w:val="0"/>
        <w:spacing w:line="360" w:lineRule="auto"/>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方正魏碑_GBK" w:hAnsi="方正魏碑_GBK" w:eastAsia="方正魏碑_GBK" w:cs="方正魏碑_GBK"/>
          <w:b/>
          <w:color w:val="000000" w:themeColor="text1"/>
          <w:sz w:val="24"/>
          <w:szCs w:val="24"/>
          <w:highlight w:val="none"/>
          <w14:textFill>
            <w14:solidFill>
              <w14:schemeClr w14:val="tx1"/>
            </w14:solidFill>
          </w14:textFill>
        </w:rPr>
        <w:t xml:space="preserve">附件</w:t>
      </w:r>
      <w:r>
        <w:rPr>
          <w:rFonts w:hint="eastAsia" w:ascii="方正魏碑_GBK" w:hAnsi="方正魏碑_GBK" w:eastAsia="方正魏碑_GBK" w:cs="方正魏碑_GBK"/>
          <w:b/>
          <w:color w:val="000000" w:themeColor="text1"/>
          <w:sz w:val="24"/>
          <w:szCs w:val="24"/>
          <w:highlight w:val="none"/>
          <w:lang w:val="en-US" w:eastAsia="zh-CN"/>
          <w14:textFill>
            <w14:solidFill>
              <w14:schemeClr w14:val="tx1"/>
            </w14:solidFill>
          </w14:textFill>
        </w:rPr>
        <w:t xml:space="preserve">9  </w:t>
      </w:r>
      <w:r>
        <w:rPr>
          <w:rFonts w:hint="eastAsia" w:ascii="宋体" w:hAnsi="宋体" w:eastAsia="宋体" w:cs="宋体"/>
          <w:b/>
          <w:color w:val="000000" w:themeColor="text1"/>
          <w:sz w:val="21"/>
          <w:szCs w:val="21"/>
          <w:highlight w:val="none"/>
          <w:lang w:val="zh-CN" w:eastAsia="zh-CN" w:bidi="ar-SA"/>
          <w14:textFill>
            <w14:solidFill>
              <w14:schemeClr w14:val="tx1"/>
            </w14:solidFill>
          </w14:textFill>
        </w:rPr>
        <w:t xml:space="preserve">联合体协议（</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如有</w:t>
      </w:r>
      <w:r>
        <w:rPr>
          <w:rFonts w:hint="eastAsia" w:ascii="宋体" w:hAnsi="宋体" w:eastAsia="宋体" w:cs="宋体"/>
          <w:b/>
          <w:color w:val="000000" w:themeColor="text1"/>
          <w:sz w:val="21"/>
          <w:szCs w:val="21"/>
          <w:highlight w:val="none"/>
          <w:lang w:val="zh-CN" w:eastAsia="zh-CN" w:bidi="ar-SA"/>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参考格式</w:t>
      </w:r>
      <w:r/>
    </w:p>
    <w:p>
      <w:pPr>
        <w:ind w:firstLine="420"/>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ind w:firstLine="420"/>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（所有成员单位名称）</w:t>
      </w:r>
      <w:r>
        <w:rPr>
          <w:rFonts w:hint="eastAsia" w:ascii="宋体" w:hAnsi="宋体" w:cs="宋体"/>
          <w:color w:val="000000"/>
          <w:szCs w:val="21"/>
          <w:highlight w:val="none"/>
        </w:rPr>
        <w:t xml:space="preserve">自愿组成</w:t>
      </w:r>
      <w:r>
        <w:rPr>
          <w:rFonts w:hint="eastAsia" w:ascii="宋体" w:hAnsi="宋体" w:cs="宋体"/>
          <w:color w:val="000000"/>
          <w:szCs w:val="21"/>
          <w:highlight w:val="none"/>
          <w:u w:val="single"/>
        </w:rPr>
        <w:t xml:space="preserve">              （联合体名称）</w:t>
      </w:r>
      <w:r>
        <w:rPr>
          <w:rFonts w:hint="eastAsia" w:ascii="宋体" w:hAnsi="宋体" w:cs="宋体"/>
          <w:color w:val="000000"/>
          <w:szCs w:val="21"/>
          <w:highlight w:val="none"/>
        </w:rPr>
        <w:t xml:space="preserve">联合体，共同参加</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投标。现就联合体投标事宜订立如下协议。</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           （某成员单位名称）</w:t>
      </w:r>
      <w:r>
        <w:rPr>
          <w:rFonts w:hint="eastAsia" w:ascii="宋体" w:hAnsi="宋体" w:cs="宋体"/>
          <w:color w:val="000000"/>
          <w:szCs w:val="21"/>
          <w:highlight w:val="none"/>
        </w:rPr>
        <w:t xml:space="preserve">为</w:t>
      </w:r>
      <w:r>
        <w:rPr>
          <w:rFonts w:hint="eastAsia" w:ascii="宋体" w:hAnsi="宋体" w:cs="宋体"/>
          <w:color w:val="000000"/>
          <w:szCs w:val="21"/>
          <w:highlight w:val="none"/>
          <w:u w:val="single"/>
        </w:rPr>
        <w:t xml:space="preserve">         （联合体名称）</w:t>
      </w:r>
      <w:r>
        <w:rPr>
          <w:rFonts w:hint="eastAsia" w:ascii="宋体" w:hAnsi="宋体" w:cs="宋体"/>
          <w:color w:val="000000"/>
          <w:szCs w:val="21"/>
          <w:highlight w:val="none"/>
        </w:rPr>
        <w:t xml:space="preserve">牵头人。</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2、联合体牵头人合法代表联合体各成员负责本采购项目响应文件</w:t>
      </w:r>
      <w:r>
        <w:rPr>
          <w:rFonts w:hint="eastAsia" w:ascii="宋体" w:hAnsi="宋体" w:cs="宋体"/>
          <w:b/>
          <w:bCs/>
          <w:color w:val="000000"/>
          <w:szCs w:val="21"/>
          <w:highlight w:val="none"/>
        </w:rPr>
        <w:t xml:space="preserve">编制、盖章、签字</w:t>
      </w:r>
      <w:r>
        <w:rPr>
          <w:rFonts w:hint="eastAsia" w:ascii="宋体" w:hAnsi="宋体" w:cs="宋体"/>
          <w:color w:val="000000"/>
          <w:szCs w:val="21"/>
          <w:highlight w:val="none"/>
        </w:rPr>
        <w:t xml:space="preserve">和</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活动，并代表联合体提交和接收相关的资料、信息及指示，并处理与之有关的一切事务，负责合同实施阶段的主办、组织和协调工作。</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3、联合体将严格按照采购文件的各项要求，递交响应文件，履行合同，并对外承担连带责任。</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4、联合体各成员单位内部的职责分工如下：</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（成员单位名称及职责分工）</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5、本协议书自签署之日起生效，合同履行完毕后自动失效。</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6、本协议书一式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份，联合体成员和采购人各执一份。</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注：本协议书由委托代理人签名或盖章的，应附法定代表人签字的授权委托书。</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jc w:val="left"/>
        <w:keepLines w:val="0"/>
        <w:keepNext w:val="0"/>
        <w:pageBreakBefore w:val="0"/>
        <w:spacing w:line="48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牵头人名称（填写后盖单位章）：</w:t>
      </w:r>
      <w:r/>
    </w:p>
    <w:p>
      <w:pPr>
        <w:ind w:firstLine="420"/>
        <w:jc w:val="left"/>
        <w:keepLines w:val="0"/>
        <w:keepNext w:val="0"/>
        <w:pageBreakBefore w:val="0"/>
        <w:spacing w:line="48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法定代表人或其委托代理人（签名或盖章）：</w:t>
      </w:r>
      <w:r/>
    </w:p>
    <w:p>
      <w:pPr>
        <w:ind w:firstLine="420"/>
        <w:jc w:val="left"/>
        <w:keepLines w:val="0"/>
        <w:keepNext w:val="0"/>
        <w:pageBreakBefore w:val="0"/>
        <w:spacing w:line="48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成员一名称（填写后盖单位章）：</w:t>
      </w:r>
      <w:r/>
    </w:p>
    <w:p>
      <w:pPr>
        <w:ind w:firstLine="42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法定代表人或其委托代理人（签名或盖章）：</w:t>
      </w:r>
      <w:r/>
    </w:p>
    <w:p>
      <w:pPr>
        <w:ind w:firstLine="840"/>
        <w:jc w:val="left"/>
        <w:keepLines w:val="0"/>
        <w:keepNext w:val="0"/>
        <w:pageBreakBefore w:val="0"/>
        <w:spacing w:line="48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Symbol">
    <w:panose1 w:val="05050102010706020507"/>
  </w:font>
  <w:font w:name="Arial Black">
    <w:panose1 w:val="020B0A04020102020204"/>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2488565</wp:posOffset>
              </wp:positionH>
              <wp:positionV relativeFrom="paragraph">
                <wp:posOffset>10160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argin-left:195.9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rPr>
                              <w:rFonts w:hint="default" w:eastAsia="宋体"/>
                              <w:lang w:val="en-US" w:eastAsia="zh-CN"/>
                            </w:rPr>
                          </w:pPr>
                          <w:r>
                            <w:rPr>
                              <w:rFonts w:hint="default" w:eastAsia="宋体"/>
                              <w:lang w:val="en-US" w:eastAsia="zh-CN"/>
                            </w:rPr>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rPr>
                        <w:rFonts w:hint="default" w:eastAsia="宋体"/>
                        <w:lang w:val="en-US" w:eastAsia="zh-CN"/>
                      </w:rPr>
                    </w:pPr>
                    <w:r>
                      <w:rPr>
                        <w:rFonts w:hint="default" w:eastAsia="宋体"/>
                        <w:lang w:val="en-US" w:eastAsia="zh-C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pPr>
                          <w:r>
                            <w:fldChar w:fldCharType="begin"/>
                          </w:r>
                          <w:r>
                            <w:instrText xml:space="preserve"> PAGE  \* MERGEFORMAT </w:instrText>
                          </w:r>
                          <w:r>
                            <w:fldChar w:fldCharType="separate"/>
                          </w:r>
                          <w:r>
                            <w:t xml:space="preserve">15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pPr>
                    <w:r>
                      <w:fldChar w:fldCharType="begin"/>
                    </w:r>
                    <w:r>
                      <w:instrText xml:space="preserve"> PAGE  \* MERGEFORMAT </w:instrText>
                    </w:r>
                    <w:r>
                      <w:fldChar w:fldCharType="separate"/>
                    </w:r>
                    <w:r>
                      <w:t xml:space="preserve">15</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pStyle w:val="1072"/>
      <w:isLgl w:val="false"/>
      <w:suff w:val="tab"/>
      <w:lvlText w:val="%1、"/>
      <w:lvlJc w:val="left"/>
      <w:pPr>
        <w:ind w:left="4091" w:hanging="480"/>
        <w:tabs>
          <w:tab w:val="left" w:pos="4091" w:leader="none"/>
        </w:tabs>
      </w:pPr>
      <w:rPr>
        <w:rFonts w:cs="Times New Roman"/>
      </w:rPr>
    </w:lvl>
    <w:lvl w:ilvl="1">
      <w:start w:val="1"/>
      <w:numFmt w:val="decimal"/>
      <w:isLgl w:val="false"/>
      <w:suff w:val="tab"/>
      <w:lvlText w:val="%2．"/>
      <w:lvlJc w:val="left"/>
      <w:pPr>
        <w:ind w:left="3971" w:hanging="360"/>
        <w:tabs>
          <w:tab w:val="left" w:pos="3971" w:leader="none"/>
        </w:tabs>
      </w:pPr>
      <w:rPr>
        <w:rFonts w:cs="Times New Roman"/>
      </w:rPr>
    </w:lvl>
    <w:lvl w:ilvl="2">
      <w:start w:val="1"/>
      <w:numFmt w:val="lowerRoman"/>
      <w:isLgl w:val="false"/>
      <w:suff w:val="tab"/>
      <w:lvlText w:val="%3."/>
      <w:lvlJc w:val="right"/>
      <w:pPr>
        <w:ind w:left="4871" w:hanging="420"/>
        <w:tabs>
          <w:tab w:val="left" w:pos="4871" w:leader="none"/>
        </w:tabs>
      </w:pPr>
      <w:rPr>
        <w:rFonts w:cs="Times New Roman"/>
      </w:rPr>
    </w:lvl>
    <w:lvl w:ilvl="3">
      <w:start w:val="1"/>
      <w:numFmt w:val="decimal"/>
      <w:isLgl w:val="false"/>
      <w:suff w:val="tab"/>
      <w:lvlText w:val="%4."/>
      <w:lvlJc w:val="left"/>
      <w:pPr>
        <w:ind w:left="5291" w:hanging="420"/>
        <w:tabs>
          <w:tab w:val="left" w:pos="5291" w:leader="none"/>
        </w:tabs>
      </w:pPr>
      <w:rPr>
        <w:rFonts w:cs="Times New Roman"/>
      </w:rPr>
    </w:lvl>
    <w:lvl w:ilvl="4">
      <w:start w:val="1"/>
      <w:numFmt w:val="lowerLetter"/>
      <w:isLgl w:val="false"/>
      <w:suff w:val="tab"/>
      <w:lvlText w:val="%5)"/>
      <w:lvlJc w:val="left"/>
      <w:pPr>
        <w:ind w:left="5711" w:hanging="420"/>
        <w:tabs>
          <w:tab w:val="left" w:pos="5711" w:leader="none"/>
        </w:tabs>
      </w:pPr>
      <w:rPr>
        <w:rFonts w:cs="Times New Roman"/>
      </w:rPr>
    </w:lvl>
    <w:lvl w:ilvl="5">
      <w:start w:val="1"/>
      <w:numFmt w:val="lowerRoman"/>
      <w:isLgl w:val="false"/>
      <w:suff w:val="tab"/>
      <w:lvlText w:val="%6."/>
      <w:lvlJc w:val="right"/>
      <w:pPr>
        <w:ind w:left="6131" w:hanging="420"/>
        <w:tabs>
          <w:tab w:val="left" w:pos="6131" w:leader="none"/>
        </w:tabs>
      </w:pPr>
      <w:rPr>
        <w:rFonts w:cs="Times New Roman"/>
      </w:rPr>
    </w:lvl>
    <w:lvl w:ilvl="6">
      <w:start w:val="1"/>
      <w:numFmt w:val="decimal"/>
      <w:isLgl w:val="false"/>
      <w:suff w:val="tab"/>
      <w:lvlText w:val="%7."/>
      <w:lvlJc w:val="left"/>
      <w:pPr>
        <w:ind w:left="6551" w:hanging="420"/>
        <w:tabs>
          <w:tab w:val="left" w:pos="6551" w:leader="none"/>
        </w:tabs>
      </w:pPr>
      <w:rPr>
        <w:rFonts w:cs="Times New Roman"/>
      </w:rPr>
    </w:lvl>
    <w:lvl w:ilvl="7">
      <w:start w:val="1"/>
      <w:numFmt w:val="lowerLetter"/>
      <w:isLgl w:val="false"/>
      <w:suff w:val="tab"/>
      <w:lvlText w:val="%8)"/>
      <w:lvlJc w:val="left"/>
      <w:pPr>
        <w:ind w:left="6971" w:hanging="420"/>
        <w:tabs>
          <w:tab w:val="left" w:pos="6971" w:leader="none"/>
        </w:tabs>
      </w:pPr>
      <w:rPr>
        <w:rFonts w:cs="Times New Roman"/>
      </w:rPr>
    </w:lvl>
    <w:lvl w:ilvl="8">
      <w:start w:val="1"/>
      <w:numFmt w:val="lowerRoman"/>
      <w:isLgl w:val="false"/>
      <w:suff w:val="tab"/>
      <w:lvlText w:val="%9."/>
      <w:lvlJc w:val="right"/>
      <w:pPr>
        <w:ind w:left="7391" w:hanging="420"/>
        <w:tabs>
          <w:tab w:val="left" w:pos="7391" w:leader="none"/>
        </w:tabs>
      </w:pPr>
      <w:rPr>
        <w:rFonts w:cs="Times New Roman"/>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11">
    <w:multiLevelType w:val="hybridMultilevel"/>
    <w:lvl w:ilvl="0">
      <w:start w:val="1"/>
      <w:numFmt w:val="decimal"/>
      <w:pStyle w:val="10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11"/>
  </w:num>
  <w:num w:numId="4">
    <w:abstractNumId w:val="2"/>
  </w:num>
  <w:num w:numId="5">
    <w:abstractNumId w:val="1"/>
  </w:num>
  <w:num w:numId="6">
    <w:abstractNumId w:val="6"/>
  </w:num>
  <w:num w:numId="7">
    <w:abstractNumId w:val="4"/>
  </w:num>
  <w:num w:numId="8">
    <w:abstractNumId w:val="0"/>
  </w:num>
  <w:num w:numId="9">
    <w:abstractNumId w:val="9"/>
  </w:num>
  <w:num w:numId="10">
    <w:abstractNumId w:val="8"/>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0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9">
    <w:name w:val="Heading 1"/>
    <w:basedOn w:val="768"/>
    <w:next w:val="768"/>
    <w:link w:val="804"/>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05"/>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06"/>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07"/>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08"/>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09"/>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1"/>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12"/>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Body Text"/>
    <w:basedOn w:val="768"/>
    <w:uiPriority w:val="99"/>
    <w:qFormat/>
    <w:pPr>
      <w:spacing w:after="120"/>
    </w:pPr>
  </w:style>
  <w:style w:type="paragraph" w:styleId="783">
    <w:name w:val="toc 5"/>
    <w:basedOn w:val="768"/>
    <w:next w:val="768"/>
    <w:uiPriority w:val="39"/>
    <w:unhideWhenUsed/>
    <w:qFormat/>
    <w:pPr>
      <w:ind w:left="1134" w:right="0" w:firstLine="0"/>
      <w:spacing w:after="57"/>
    </w:pPr>
  </w:style>
  <w:style w:type="paragraph" w:styleId="784">
    <w:name w:val="toc 3"/>
    <w:basedOn w:val="768"/>
    <w:next w:val="768"/>
    <w:uiPriority w:val="39"/>
    <w:unhideWhenUsed/>
    <w:qFormat/>
    <w:pPr>
      <w:ind w:left="567" w:right="0" w:firstLine="0"/>
      <w:spacing w:after="57"/>
    </w:pPr>
  </w:style>
  <w:style w:type="paragraph" w:styleId="785">
    <w:name w:val="toc 8"/>
    <w:basedOn w:val="768"/>
    <w:next w:val="768"/>
    <w:uiPriority w:val="39"/>
    <w:unhideWhenUsed/>
    <w:qFormat/>
    <w:pPr>
      <w:ind w:left="1984" w:right="0" w:firstLine="0"/>
      <w:spacing w:after="57"/>
    </w:pPr>
  </w:style>
  <w:style w:type="paragraph" w:styleId="786">
    <w:name w:val="endnote text"/>
    <w:basedOn w:val="768"/>
    <w:link w:val="949"/>
    <w:uiPriority w:val="99"/>
    <w:semiHidden/>
    <w:unhideWhenUsed/>
    <w:qFormat/>
    <w:pPr>
      <w:spacing w:after="0" w:line="240" w:lineRule="auto"/>
    </w:pPr>
    <w:rPr>
      <w:sz w:val="20"/>
    </w:rPr>
  </w:style>
  <w:style w:type="paragraph" w:styleId="787">
    <w:name w:val="Footer"/>
    <w:basedOn w:val="768"/>
    <w:link w:val="822"/>
    <w:uiPriority w:val="99"/>
    <w:unhideWhenUsed/>
    <w:qFormat/>
    <w:pPr>
      <w:spacing w:after="0" w:line="240" w:lineRule="auto"/>
      <w:tabs>
        <w:tab w:val="center" w:pos="7143" w:leader="none"/>
        <w:tab w:val="right" w:pos="14287" w:leader="none"/>
      </w:tabs>
    </w:pPr>
  </w:style>
  <w:style w:type="paragraph" w:styleId="788">
    <w:name w:val="Header"/>
    <w:basedOn w:val="768"/>
    <w:link w:val="820"/>
    <w:uiPriority w:val="99"/>
    <w:unhideWhenUsed/>
    <w:qFormat/>
    <w:pPr>
      <w:spacing w:after="0" w:line="240" w:lineRule="auto"/>
      <w:tabs>
        <w:tab w:val="center" w:pos="7143" w:leader="none"/>
        <w:tab w:val="right" w:pos="14287" w:leader="none"/>
      </w:tabs>
    </w:pPr>
  </w:style>
  <w:style w:type="paragraph" w:styleId="789">
    <w:name w:val="toc 1"/>
    <w:basedOn w:val="768"/>
    <w:next w:val="768"/>
    <w:uiPriority w:val="39"/>
    <w:unhideWhenUsed/>
    <w:qFormat/>
    <w:pPr>
      <w:ind w:left="0" w:right="0" w:firstLine="0"/>
      <w:spacing w:after="57"/>
    </w:pPr>
  </w:style>
  <w:style w:type="paragraph" w:styleId="790">
    <w:name w:val="toc 4"/>
    <w:basedOn w:val="768"/>
    <w:next w:val="768"/>
    <w:uiPriority w:val="39"/>
    <w:unhideWhenUsed/>
    <w:qFormat/>
    <w:pPr>
      <w:ind w:left="850" w:right="0" w:firstLine="0"/>
      <w:spacing w:after="57"/>
    </w:pPr>
  </w:style>
  <w:style w:type="paragraph" w:styleId="791">
    <w:name w:val="Subtitle"/>
    <w:basedOn w:val="768"/>
    <w:next w:val="768"/>
    <w:link w:val="815"/>
    <w:uiPriority w:val="11"/>
    <w:qFormat/>
    <w:pPr>
      <w:spacing w:before="200" w:after="200"/>
    </w:pPr>
    <w:rPr>
      <w:sz w:val="24"/>
      <w:szCs w:val="24"/>
    </w:rPr>
  </w:style>
  <w:style w:type="paragraph" w:styleId="792">
    <w:name w:val="footnote text"/>
    <w:basedOn w:val="768"/>
    <w:link w:val="948"/>
    <w:uiPriority w:val="99"/>
    <w:semiHidden/>
    <w:unhideWhenUsed/>
    <w:qFormat/>
    <w:pPr>
      <w:spacing w:after="40" w:line="240" w:lineRule="auto"/>
    </w:pPr>
    <w:rPr>
      <w:sz w:val="18"/>
    </w:rPr>
  </w:style>
  <w:style w:type="paragraph" w:styleId="793">
    <w:name w:val="toc 6"/>
    <w:basedOn w:val="768"/>
    <w:next w:val="768"/>
    <w:uiPriority w:val="39"/>
    <w:unhideWhenUsed/>
    <w:qFormat/>
    <w:pPr>
      <w:ind w:left="1417" w:right="0" w:firstLine="0"/>
      <w:spacing w:after="57"/>
    </w:pPr>
  </w:style>
  <w:style w:type="paragraph" w:styleId="794">
    <w:name w:val="table of figures"/>
    <w:basedOn w:val="768"/>
    <w:next w:val="768"/>
    <w:uiPriority w:val="99"/>
    <w:unhideWhenUsed/>
    <w:qFormat/>
    <w:pPr>
      <w:spacing w:after="0" w:afterAutospacing="0"/>
    </w:pPr>
  </w:style>
  <w:style w:type="paragraph" w:styleId="795">
    <w:name w:val="toc 2"/>
    <w:basedOn w:val="768"/>
    <w:next w:val="768"/>
    <w:uiPriority w:val="39"/>
    <w:unhideWhenUsed/>
    <w:qFormat/>
    <w:pPr>
      <w:ind w:left="283" w:right="0" w:firstLine="0"/>
      <w:spacing w:after="57"/>
    </w:pPr>
  </w:style>
  <w:style w:type="paragraph" w:styleId="796">
    <w:name w:val="toc 9"/>
    <w:basedOn w:val="768"/>
    <w:next w:val="768"/>
    <w:uiPriority w:val="39"/>
    <w:unhideWhenUsed/>
    <w:qFormat/>
    <w:pPr>
      <w:ind w:left="2268" w:right="0" w:firstLine="0"/>
      <w:spacing w:after="57"/>
    </w:pPr>
  </w:style>
  <w:style w:type="paragraph" w:styleId="797">
    <w:name w:val="Normal (Web)"/>
    <w:basedOn w:val="768"/>
    <w:uiPriority w:val="0"/>
    <w:qFormat/>
    <w:pPr>
      <w:ind w:left="0" w:right="0"/>
      <w:jc w:val="left"/>
      <w:spacing w:before="100" w:beforeAutospacing="1" w:after="100" w:afterAutospacing="1"/>
    </w:pPr>
    <w:rPr>
      <w:sz w:val="24"/>
      <w:lang w:val="en-US" w:eastAsia="zh-CN" w:bidi="ar"/>
    </w:rPr>
  </w:style>
  <w:style w:type="paragraph" w:styleId="798">
    <w:name w:val="Title"/>
    <w:basedOn w:val="768"/>
    <w:next w:val="768"/>
    <w:link w:val="814"/>
    <w:uiPriority w:val="10"/>
    <w:qFormat/>
    <w:pPr>
      <w:contextualSpacing/>
      <w:spacing w:before="300" w:after="200"/>
    </w:pPr>
    <w:rPr>
      <w:sz w:val="48"/>
      <w:szCs w:val="48"/>
    </w:r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78"/>
    <w:uiPriority w:val="22"/>
    <w:qFormat/>
    <w:rPr>
      <w:b/>
    </w:r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character" w:styleId="804" w:customStyle="1">
    <w:name w:val="Heading 1 Char"/>
    <w:link w:val="769"/>
    <w:uiPriority w:val="9"/>
    <w:qFormat/>
    <w:rPr>
      <w:rFonts w:ascii="Arial" w:hAnsi="Arial" w:eastAsia="Arial" w:cs="Arial"/>
      <w:sz w:val="40"/>
      <w:szCs w:val="40"/>
    </w:rPr>
  </w:style>
  <w:style w:type="character" w:styleId="805" w:customStyle="1">
    <w:name w:val="Heading 2 Char"/>
    <w:link w:val="770"/>
    <w:uiPriority w:val="9"/>
    <w:qFormat/>
    <w:rPr>
      <w:rFonts w:ascii="Arial" w:hAnsi="Arial" w:eastAsia="Arial" w:cs="Arial"/>
      <w:sz w:val="34"/>
    </w:rPr>
  </w:style>
  <w:style w:type="character" w:styleId="806" w:customStyle="1">
    <w:name w:val="Heading 3 Char"/>
    <w:link w:val="771"/>
    <w:uiPriority w:val="9"/>
    <w:qFormat/>
    <w:rPr>
      <w:rFonts w:ascii="Arial" w:hAnsi="Arial" w:eastAsia="Arial" w:cs="Arial"/>
      <w:sz w:val="30"/>
      <w:szCs w:val="30"/>
    </w:rPr>
  </w:style>
  <w:style w:type="character" w:styleId="807" w:customStyle="1">
    <w:name w:val="Heading 4 Char"/>
    <w:link w:val="772"/>
    <w:uiPriority w:val="9"/>
    <w:qFormat/>
    <w:rPr>
      <w:rFonts w:ascii="Arial" w:hAnsi="Arial" w:eastAsia="Arial" w:cs="Arial"/>
      <w:b/>
      <w:bCs/>
      <w:sz w:val="26"/>
      <w:szCs w:val="26"/>
    </w:rPr>
  </w:style>
  <w:style w:type="character" w:styleId="808" w:customStyle="1">
    <w:name w:val="Heading 5 Char"/>
    <w:link w:val="773"/>
    <w:uiPriority w:val="9"/>
    <w:qFormat/>
    <w:rPr>
      <w:rFonts w:ascii="Arial" w:hAnsi="Arial" w:eastAsia="Arial" w:cs="Arial"/>
      <w:b/>
      <w:bCs/>
      <w:sz w:val="24"/>
      <w:szCs w:val="24"/>
    </w:rPr>
  </w:style>
  <w:style w:type="character" w:styleId="809" w:customStyle="1">
    <w:name w:val="Heading 6 Char"/>
    <w:link w:val="774"/>
    <w:uiPriority w:val="9"/>
    <w:qFormat/>
    <w:rPr>
      <w:rFonts w:ascii="Arial" w:hAnsi="Arial" w:eastAsia="Arial" w:cs="Arial"/>
      <w:b/>
      <w:bCs/>
      <w:sz w:val="22"/>
      <w:szCs w:val="22"/>
    </w:rPr>
  </w:style>
  <w:style w:type="character" w:styleId="810" w:customStyle="1">
    <w:name w:val="Heading 7 Char"/>
    <w:link w:val="775"/>
    <w:uiPriority w:val="9"/>
    <w:qFormat/>
    <w:rPr>
      <w:rFonts w:ascii="Arial" w:hAnsi="Arial" w:eastAsia="Arial" w:cs="Arial"/>
      <w:b/>
      <w:bCs/>
      <w:i/>
      <w:iCs/>
      <w:sz w:val="22"/>
      <w:szCs w:val="22"/>
    </w:rPr>
  </w:style>
  <w:style w:type="character" w:styleId="811" w:customStyle="1">
    <w:name w:val="Heading 8 Char"/>
    <w:link w:val="776"/>
    <w:uiPriority w:val="9"/>
    <w:qFormat/>
    <w:rPr>
      <w:rFonts w:ascii="Arial" w:hAnsi="Arial" w:eastAsia="Arial" w:cs="Arial"/>
      <w:i/>
      <w:iCs/>
      <w:sz w:val="22"/>
      <w:szCs w:val="22"/>
    </w:rPr>
  </w:style>
  <w:style w:type="character" w:styleId="812" w:customStyle="1">
    <w:name w:val="Heading 9 Char"/>
    <w:link w:val="777"/>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8"/>
    <w:uiPriority w:val="10"/>
    <w:qFormat/>
    <w:rPr>
      <w:sz w:val="48"/>
      <w:szCs w:val="48"/>
    </w:rPr>
  </w:style>
  <w:style w:type="character" w:styleId="815" w:customStyle="1">
    <w:name w:val="Subtitle Char"/>
    <w:link w:val="791"/>
    <w:uiPriority w:val="11"/>
    <w:qFormat/>
    <w:rPr>
      <w:sz w:val="24"/>
      <w:szCs w:val="24"/>
    </w:rPr>
  </w:style>
  <w:style w:type="paragraph" w:styleId="816">
    <w:name w:val="Quote"/>
    <w:basedOn w:val="768"/>
    <w:next w:val="768"/>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8"/>
    <w:next w:val="768"/>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88"/>
    <w:uiPriority w:val="99"/>
    <w:qFormat/>
  </w:style>
  <w:style w:type="character" w:styleId="821" w:customStyle="1">
    <w:name w:val="Footer Char"/>
    <w:link w:val="787"/>
    <w:uiPriority w:val="99"/>
    <w:qFormat/>
  </w:style>
  <w:style w:type="character" w:styleId="822" w:customStyle="1">
    <w:name w:val="Caption Char"/>
    <w:link w:val="787"/>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92"/>
    <w:uiPriority w:val="99"/>
    <w:qFormat/>
    <w:rPr>
      <w:sz w:val="18"/>
    </w:rPr>
  </w:style>
  <w:style w:type="character" w:styleId="949" w:customStyle="1">
    <w:name w:val="Endnote Text Char"/>
    <w:link w:val="786"/>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68"/>
    <w:next w:val="768"/>
    <w:link w:val="963"/>
    <w:uiPriority w:val="0"/>
    <w:qFormat/>
    <w:pPr>
      <w:jc w:val="center"/>
      <w:keepNext/>
      <w:outlineLvl w:val="0"/>
    </w:pPr>
    <w:rPr>
      <w:rFonts w:ascii="楷体_GB2312" w:hAnsi="Times New Roman" w:eastAsia="楷体_GB2312" w:cs="Times New Roman"/>
      <w:sz w:val="28"/>
      <w:szCs w:val="28"/>
    </w:rPr>
  </w:style>
  <w:style w:type="paragraph" w:styleId="952" w:customStyle="1">
    <w:name w:val="标题 21"/>
    <w:basedOn w:val="768"/>
    <w:next w:val="768"/>
    <w:link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3" w:customStyle="1">
    <w:name w:val="标题 31"/>
    <w:basedOn w:val="768"/>
    <w:next w:val="954"/>
    <w:link w:val="96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4" w:customStyle="1">
    <w:name w:val="正文缩进1"/>
    <w:basedOn w:val="768"/>
    <w:link w:val="966"/>
    <w:uiPriority w:val="0"/>
    <w:qFormat/>
    <w:pPr>
      <w:ind w:firstLine="420"/>
    </w:pPr>
    <w:rPr>
      <w:szCs w:val="21"/>
    </w:rPr>
  </w:style>
  <w:style w:type="paragraph" w:styleId="955" w:customStyle="1">
    <w:name w:val="标题 41"/>
    <w:basedOn w:val="768"/>
    <w:next w:val="954"/>
    <w:link w:val="967"/>
    <w:uiPriority w:val="0"/>
    <w:qFormat/>
    <w:pPr>
      <w:keepLines/>
      <w:keepNext/>
      <w:spacing w:before="280" w:after="290" w:line="376" w:lineRule="auto"/>
      <w:outlineLvl w:val="3"/>
    </w:pPr>
    <w:rPr>
      <w:rFonts w:ascii="Arial" w:hAnsi="Arial" w:eastAsia="黑体" w:cs="Arial"/>
      <w:b/>
      <w:bCs/>
      <w:sz w:val="28"/>
      <w:szCs w:val="28"/>
    </w:rPr>
  </w:style>
  <w:style w:type="paragraph" w:styleId="956" w:customStyle="1">
    <w:name w:val="标题 51"/>
    <w:basedOn w:val="768"/>
    <w:next w:val="954"/>
    <w:link w:val="968"/>
    <w:uiPriority w:val="0"/>
    <w:qFormat/>
    <w:pPr>
      <w:keepNext/>
      <w:outlineLvl w:val="4"/>
    </w:pPr>
    <w:rPr>
      <w:rFonts w:ascii="宋体" w:hAnsi="Times New Roman" w:eastAsia="宋体" w:cs="Times New Roman"/>
      <w:color w:val="000000"/>
      <w:sz w:val="28"/>
      <w:szCs w:val="28"/>
    </w:rPr>
  </w:style>
  <w:style w:type="paragraph" w:styleId="957" w:customStyle="1">
    <w:name w:val="标题 61"/>
    <w:basedOn w:val="768"/>
    <w:next w:val="768"/>
    <w:link w:val="96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8" w:customStyle="1">
    <w:name w:val="标题 71"/>
    <w:basedOn w:val="768"/>
    <w:next w:val="768"/>
    <w:link w:val="97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9" w:customStyle="1">
    <w:name w:val="标题 81"/>
    <w:basedOn w:val="768"/>
    <w:next w:val="768"/>
    <w:link w:val="97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0" w:customStyle="1">
    <w:name w:val="标题 91"/>
    <w:basedOn w:val="768"/>
    <w:next w:val="768"/>
    <w:link w:val="97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1" w:customStyle="1">
    <w:name w:val="默认段落字体1"/>
    <w:link w:val="768"/>
    <w:uiPriority w:val="1"/>
    <w:unhideWhenUsed/>
    <w:qFormat/>
  </w:style>
  <w:style w:type="table" w:styleId="962" w:customStyle="1">
    <w:name w:val="普通表格1"/>
    <w:uiPriority w:val="99"/>
    <w:unhideWhenUsed/>
    <w:qFormat/>
    <w:tblPr/>
  </w:style>
  <w:style w:type="character" w:styleId="963" w:customStyle="1">
    <w:name w:val="标题 1 字符"/>
    <w:link w:val="951"/>
    <w:uiPriority w:val="0"/>
    <w:qFormat/>
    <w:rPr>
      <w:rFonts w:ascii="楷体_GB2312" w:hAnsi="Times New Roman" w:eastAsia="楷体_GB2312" w:cs="Times New Roman"/>
      <w:sz w:val="28"/>
      <w:szCs w:val="28"/>
    </w:rPr>
  </w:style>
  <w:style w:type="character" w:styleId="964" w:customStyle="1">
    <w:name w:val="标题 2 字符"/>
    <w:link w:val="952"/>
    <w:uiPriority w:val="0"/>
    <w:qFormat/>
    <w:rPr>
      <w:rFonts w:ascii="Arial" w:hAnsi="Arial" w:eastAsia="幼圆" w:cs="Arial"/>
      <w:b/>
      <w:bCs/>
      <w:sz w:val="44"/>
      <w:szCs w:val="44"/>
    </w:rPr>
  </w:style>
  <w:style w:type="character" w:styleId="965" w:customStyle="1">
    <w:name w:val="标题 3 字符"/>
    <w:link w:val="953"/>
    <w:uiPriority w:val="0"/>
    <w:qFormat/>
    <w:rPr>
      <w:rFonts w:ascii="Times New Roman" w:hAnsi="Times New Roman" w:eastAsia="宋体" w:cs="Times New Roman"/>
      <w:b/>
      <w:bCs/>
      <w:sz w:val="32"/>
      <w:szCs w:val="32"/>
    </w:rPr>
  </w:style>
  <w:style w:type="character" w:styleId="966" w:customStyle="1">
    <w:name w:val="正文缩进 字符"/>
    <w:link w:val="954"/>
    <w:uiPriority w:val="0"/>
    <w:qFormat/>
    <w:rPr>
      <w:szCs w:val="21"/>
    </w:rPr>
  </w:style>
  <w:style w:type="character" w:styleId="967" w:customStyle="1">
    <w:name w:val="标题 4 字符"/>
    <w:link w:val="955"/>
    <w:uiPriority w:val="0"/>
    <w:qFormat/>
    <w:rPr>
      <w:rFonts w:ascii="Arial" w:hAnsi="Arial" w:eastAsia="黑体" w:cs="Arial"/>
      <w:b/>
      <w:bCs/>
      <w:sz w:val="28"/>
      <w:szCs w:val="28"/>
    </w:rPr>
  </w:style>
  <w:style w:type="character" w:styleId="968" w:customStyle="1">
    <w:name w:val="标题 5 字符"/>
    <w:link w:val="956"/>
    <w:uiPriority w:val="0"/>
    <w:qFormat/>
    <w:rPr>
      <w:rFonts w:ascii="宋体" w:hAnsi="Times New Roman" w:eastAsia="宋体" w:cs="Times New Roman"/>
      <w:color w:val="000000"/>
      <w:sz w:val="28"/>
      <w:szCs w:val="28"/>
    </w:rPr>
  </w:style>
  <w:style w:type="character" w:styleId="969" w:customStyle="1">
    <w:name w:val="标题 6 字符"/>
    <w:link w:val="957"/>
    <w:uiPriority w:val="0"/>
    <w:qFormat/>
    <w:rPr>
      <w:rFonts w:ascii="Arial" w:hAnsi="Arial" w:eastAsia="黑体" w:cs="Times New Roman"/>
      <w:b/>
      <w:bCs/>
      <w:sz w:val="24"/>
      <w:szCs w:val="24"/>
    </w:rPr>
  </w:style>
  <w:style w:type="character" w:styleId="970" w:customStyle="1">
    <w:name w:val="标题 7 字符"/>
    <w:link w:val="958"/>
    <w:uiPriority w:val="0"/>
    <w:qFormat/>
    <w:rPr>
      <w:rFonts w:ascii="Times New Roman" w:hAnsi="Times New Roman" w:eastAsia="宋体" w:cs="Times New Roman"/>
      <w:b/>
      <w:bCs/>
      <w:sz w:val="24"/>
      <w:szCs w:val="24"/>
    </w:rPr>
  </w:style>
  <w:style w:type="character" w:styleId="971" w:customStyle="1">
    <w:name w:val="标题 8 字符"/>
    <w:link w:val="959"/>
    <w:uiPriority w:val="0"/>
    <w:qFormat/>
    <w:rPr>
      <w:rFonts w:ascii="Arial" w:hAnsi="Arial" w:eastAsia="黑体" w:cs="Times New Roman"/>
      <w:sz w:val="24"/>
      <w:szCs w:val="24"/>
    </w:rPr>
  </w:style>
  <w:style w:type="character" w:styleId="972" w:customStyle="1">
    <w:name w:val="标题 9 字符"/>
    <w:link w:val="960"/>
    <w:uiPriority w:val="0"/>
    <w:qFormat/>
    <w:rPr>
      <w:rFonts w:ascii="Arial" w:hAnsi="Arial" w:eastAsia="黑体" w:cs="Times New Roman"/>
      <w:szCs w:val="21"/>
    </w:rPr>
  </w:style>
  <w:style w:type="paragraph" w:styleId="973" w:customStyle="1">
    <w:name w:val="列表 31"/>
    <w:basedOn w:val="768"/>
    <w:uiPriority w:val="0"/>
    <w:qFormat/>
    <w:pPr>
      <w:ind w:left="100" w:hanging="200"/>
    </w:pPr>
    <w:rPr>
      <w:rFonts w:ascii="Times New Roman" w:hAnsi="Times New Roman" w:eastAsia="宋体" w:cs="Times New Roman"/>
      <w:szCs w:val="21"/>
    </w:rPr>
  </w:style>
  <w:style w:type="paragraph" w:styleId="974" w:customStyle="1">
    <w:name w:val="目录 71"/>
    <w:basedOn w:val="768"/>
    <w:next w:val="768"/>
    <w:uiPriority w:val="0"/>
    <w:semiHidden/>
    <w:qFormat/>
    <w:pPr>
      <w:ind w:left="1260"/>
      <w:jc w:val="left"/>
    </w:pPr>
    <w:rPr>
      <w:rFonts w:ascii="Times New Roman" w:hAnsi="Times New Roman" w:eastAsia="宋体" w:cs="Times New Roman"/>
      <w:szCs w:val="21"/>
    </w:rPr>
  </w:style>
  <w:style w:type="paragraph" w:styleId="975" w:customStyle="1">
    <w:name w:val="文档结构图1"/>
    <w:basedOn w:val="768"/>
    <w:link w:val="976"/>
    <w:uiPriority w:val="0"/>
    <w:semiHidden/>
    <w:qFormat/>
    <w:pPr>
      <w:shd w:val="clear" w:color="auto" w:fill="000080"/>
    </w:pPr>
    <w:rPr>
      <w:rFonts w:ascii="Times New Roman" w:hAnsi="Times New Roman" w:eastAsia="宋体" w:cs="Times New Roman"/>
      <w:szCs w:val="21"/>
    </w:rPr>
  </w:style>
  <w:style w:type="character" w:styleId="976" w:customStyle="1">
    <w:name w:val="文档结构图 字符"/>
    <w:link w:val="975"/>
    <w:uiPriority w:val="0"/>
    <w:semiHidden/>
    <w:qFormat/>
    <w:rPr>
      <w:rFonts w:ascii="Times New Roman" w:hAnsi="Times New Roman" w:eastAsia="宋体" w:cs="Times New Roman"/>
      <w:szCs w:val="21"/>
      <w:shd w:val="clear" w:color="auto" w:fill="000080"/>
    </w:rPr>
  </w:style>
  <w:style w:type="paragraph" w:styleId="977" w:customStyle="1">
    <w:name w:val="批注文字1"/>
    <w:basedOn w:val="768"/>
    <w:link w:val="978"/>
    <w:uiPriority w:val="0"/>
    <w:unhideWhenUsed/>
    <w:qFormat/>
    <w:pPr>
      <w:jc w:val="left"/>
    </w:pPr>
  </w:style>
  <w:style w:type="character" w:styleId="978" w:customStyle="1">
    <w:name w:val="批注文字 字符"/>
    <w:link w:val="977"/>
    <w:uiPriority w:val="99"/>
    <w:semiHidden/>
    <w:qFormat/>
  </w:style>
  <w:style w:type="paragraph" w:styleId="979" w:customStyle="1">
    <w:name w:val="正文文本 31"/>
    <w:basedOn w:val="768"/>
    <w:link w:val="980"/>
    <w:uiPriority w:val="0"/>
    <w:qFormat/>
    <w:rPr>
      <w:rFonts w:ascii="仿宋_GB2312" w:hAnsi="Arial" w:eastAsia="仿宋_GB2312" w:cs="Times New Roman"/>
      <w:sz w:val="32"/>
      <w:szCs w:val="32"/>
    </w:rPr>
  </w:style>
  <w:style w:type="character" w:styleId="980" w:customStyle="1">
    <w:name w:val="正文文本 3 字符"/>
    <w:link w:val="979"/>
    <w:uiPriority w:val="0"/>
    <w:qFormat/>
    <w:rPr>
      <w:rFonts w:ascii="仿宋_GB2312" w:hAnsi="Arial" w:eastAsia="仿宋_GB2312" w:cs="Times New Roman"/>
      <w:sz w:val="32"/>
      <w:szCs w:val="32"/>
    </w:rPr>
  </w:style>
  <w:style w:type="paragraph" w:styleId="981" w:customStyle="1">
    <w:name w:val="正文文本11"/>
    <w:basedOn w:val="768"/>
    <w:link w:val="982"/>
    <w:uiPriority w:val="0"/>
    <w:qFormat/>
    <w:rPr>
      <w:rFonts w:ascii="楷体_GB2312" w:hAnsi="Arial" w:eastAsia="楷体_GB2312" w:cs="Times New Roman"/>
      <w:sz w:val="28"/>
      <w:szCs w:val="28"/>
    </w:rPr>
  </w:style>
  <w:style w:type="character" w:styleId="982" w:customStyle="1">
    <w:name w:val="正文文本 字符"/>
    <w:link w:val="981"/>
    <w:uiPriority w:val="0"/>
    <w:qFormat/>
    <w:rPr>
      <w:rFonts w:ascii="楷体_GB2312" w:hAnsi="Arial" w:eastAsia="楷体_GB2312" w:cs="Times New Roman"/>
      <w:sz w:val="28"/>
      <w:szCs w:val="28"/>
    </w:rPr>
  </w:style>
  <w:style w:type="paragraph" w:styleId="983" w:customStyle="1">
    <w:name w:val="正文文本缩进1"/>
    <w:basedOn w:val="768"/>
    <w:next w:val="768"/>
    <w:link w:val="984"/>
    <w:uiPriority w:val="0"/>
    <w:unhideWhenUsed/>
    <w:qFormat/>
    <w:pPr>
      <w:ind w:left="420"/>
      <w:spacing w:after="120"/>
    </w:pPr>
  </w:style>
  <w:style w:type="character" w:styleId="984" w:customStyle="1">
    <w:name w:val="正文文本缩进 字符"/>
    <w:link w:val="983"/>
    <w:uiPriority w:val="99"/>
    <w:semiHidden/>
    <w:qFormat/>
  </w:style>
  <w:style w:type="paragraph" w:styleId="985" w:customStyle="1">
    <w:name w:val="列表 21"/>
    <w:basedOn w:val="768"/>
    <w:uiPriority w:val="0"/>
    <w:qFormat/>
    <w:pPr>
      <w:ind w:left="100" w:hanging="200"/>
    </w:pPr>
    <w:rPr>
      <w:rFonts w:ascii="Times New Roman" w:hAnsi="Times New Roman" w:eastAsia="宋体" w:cs="Times New Roman"/>
      <w:szCs w:val="21"/>
    </w:rPr>
  </w:style>
  <w:style w:type="paragraph" w:styleId="986" w:customStyle="1">
    <w:name w:val="目录 51"/>
    <w:basedOn w:val="768"/>
    <w:next w:val="768"/>
    <w:uiPriority w:val="0"/>
    <w:semiHidden/>
    <w:qFormat/>
    <w:pPr>
      <w:ind w:left="840"/>
      <w:jc w:val="left"/>
    </w:pPr>
    <w:rPr>
      <w:rFonts w:ascii="Times New Roman" w:hAnsi="Times New Roman" w:eastAsia="宋体" w:cs="Times New Roman"/>
      <w:szCs w:val="21"/>
    </w:rPr>
  </w:style>
  <w:style w:type="paragraph" w:styleId="987" w:customStyle="1">
    <w:name w:val="目录 31"/>
    <w:basedOn w:val="768"/>
    <w:next w:val="768"/>
    <w:uiPriority w:val="0"/>
    <w:semiHidden/>
    <w:qFormat/>
    <w:pPr>
      <w:ind w:left="420"/>
      <w:jc w:val="left"/>
    </w:pPr>
    <w:rPr>
      <w:rFonts w:ascii="Times New Roman" w:hAnsi="Times New Roman" w:eastAsia="宋体" w:cs="Times New Roman"/>
      <w:i/>
      <w:iCs/>
      <w:szCs w:val="24"/>
    </w:rPr>
  </w:style>
  <w:style w:type="paragraph" w:styleId="988" w:customStyle="1">
    <w:name w:val="纯文本1"/>
    <w:basedOn w:val="768"/>
    <w:link w:val="989"/>
    <w:uiPriority w:val="0"/>
    <w:qFormat/>
    <w:rPr>
      <w:rFonts w:ascii="宋体" w:hAnsi="Courier New" w:eastAsia="宋体" w:cs="Courier New"/>
      <w:szCs w:val="21"/>
    </w:rPr>
  </w:style>
  <w:style w:type="character" w:styleId="989" w:customStyle="1">
    <w:name w:val="纯文本 字符"/>
    <w:link w:val="988"/>
    <w:uiPriority w:val="0"/>
    <w:qFormat/>
    <w:rPr>
      <w:rFonts w:ascii="宋体" w:hAnsi="Courier New" w:eastAsia="宋体" w:cs="Courier New"/>
      <w:szCs w:val="21"/>
    </w:rPr>
  </w:style>
  <w:style w:type="paragraph" w:styleId="990" w:customStyle="1">
    <w:name w:val="目录 81"/>
    <w:basedOn w:val="768"/>
    <w:next w:val="768"/>
    <w:uiPriority w:val="0"/>
    <w:semiHidden/>
    <w:qFormat/>
    <w:pPr>
      <w:ind w:left="1470"/>
      <w:jc w:val="left"/>
    </w:pPr>
    <w:rPr>
      <w:rFonts w:ascii="Times New Roman" w:hAnsi="Times New Roman" w:eastAsia="宋体" w:cs="Times New Roman"/>
      <w:szCs w:val="21"/>
    </w:rPr>
  </w:style>
  <w:style w:type="paragraph" w:styleId="991" w:customStyle="1">
    <w:name w:val="日期1"/>
    <w:basedOn w:val="768"/>
    <w:next w:val="768"/>
    <w:link w:val="992"/>
    <w:uiPriority w:val="0"/>
    <w:qFormat/>
    <w:rPr>
      <w:rFonts w:ascii="Times New Roman" w:hAnsi="Times New Roman" w:eastAsia="宋体" w:cs="Times New Roman"/>
      <w:sz w:val="24"/>
      <w:szCs w:val="24"/>
    </w:rPr>
  </w:style>
  <w:style w:type="character" w:styleId="992" w:customStyle="1">
    <w:name w:val="日期 字符"/>
    <w:link w:val="991"/>
    <w:uiPriority w:val="0"/>
    <w:qFormat/>
    <w:rPr>
      <w:rFonts w:ascii="Times New Roman" w:hAnsi="Times New Roman" w:eastAsia="宋体" w:cs="Times New Roman"/>
      <w:sz w:val="24"/>
      <w:szCs w:val="24"/>
    </w:rPr>
  </w:style>
  <w:style w:type="paragraph" w:styleId="993" w:customStyle="1">
    <w:name w:val="正文文本缩进 21"/>
    <w:basedOn w:val="768"/>
    <w:link w:val="994"/>
    <w:uiPriority w:val="0"/>
    <w:qFormat/>
    <w:pPr>
      <w:ind w:left="630" w:firstLine="645"/>
    </w:pPr>
    <w:rPr>
      <w:rFonts w:ascii="Arial" w:hAnsi="Arial" w:eastAsia="仿宋_GB2312" w:cs="Arial"/>
      <w:sz w:val="32"/>
      <w:szCs w:val="32"/>
    </w:rPr>
  </w:style>
  <w:style w:type="character" w:styleId="994" w:customStyle="1">
    <w:name w:val="正文文本缩进 2 字符"/>
    <w:link w:val="993"/>
    <w:uiPriority w:val="0"/>
    <w:qFormat/>
    <w:rPr>
      <w:rFonts w:ascii="Arial" w:hAnsi="Arial" w:eastAsia="仿宋_GB2312" w:cs="Arial"/>
      <w:sz w:val="32"/>
      <w:szCs w:val="32"/>
    </w:rPr>
  </w:style>
  <w:style w:type="paragraph" w:styleId="995" w:customStyle="1">
    <w:name w:val="批注框文本1"/>
    <w:basedOn w:val="768"/>
    <w:link w:val="996"/>
    <w:uiPriority w:val="0"/>
    <w:semiHidden/>
    <w:qFormat/>
    <w:rPr>
      <w:rFonts w:ascii="Times New Roman" w:hAnsi="Times New Roman" w:eastAsia="宋体" w:cs="Times New Roman"/>
      <w:sz w:val="18"/>
      <w:szCs w:val="18"/>
    </w:rPr>
  </w:style>
  <w:style w:type="character" w:styleId="996" w:customStyle="1">
    <w:name w:val="批注框文本 字符"/>
    <w:link w:val="995"/>
    <w:uiPriority w:val="0"/>
    <w:semiHidden/>
    <w:qFormat/>
    <w:rPr>
      <w:rFonts w:ascii="Times New Roman" w:hAnsi="Times New Roman" w:eastAsia="宋体" w:cs="Times New Roman"/>
      <w:sz w:val="18"/>
      <w:szCs w:val="18"/>
    </w:rPr>
  </w:style>
  <w:style w:type="paragraph" w:styleId="997" w:customStyle="1">
    <w:name w:val="页脚1"/>
    <w:basedOn w:val="768"/>
    <w:link w:val="99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98" w:customStyle="1">
    <w:name w:val="页脚 字符"/>
    <w:link w:val="997"/>
    <w:uiPriority w:val="99"/>
    <w:qFormat/>
    <w:rPr>
      <w:rFonts w:ascii="Times New Roman" w:hAnsi="Times New Roman" w:eastAsia="宋体" w:cs="Times New Roman"/>
      <w:sz w:val="18"/>
      <w:szCs w:val="18"/>
    </w:rPr>
  </w:style>
  <w:style w:type="paragraph" w:styleId="999" w:customStyle="1">
    <w:name w:val="寄信人地址1"/>
    <w:basedOn w:val="768"/>
    <w:uiPriority w:val="0"/>
    <w:qFormat/>
  </w:style>
  <w:style w:type="paragraph" w:styleId="1000" w:customStyle="1">
    <w:name w:val="页眉1"/>
    <w:basedOn w:val="768"/>
    <w:link w:val="100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1" w:customStyle="1">
    <w:name w:val="页眉 字符"/>
    <w:link w:val="1000"/>
    <w:uiPriority w:val="0"/>
    <w:qFormat/>
    <w:rPr>
      <w:rFonts w:ascii="Times New Roman" w:hAnsi="Times New Roman" w:eastAsia="宋体" w:cs="Times New Roman"/>
      <w:sz w:val="18"/>
      <w:szCs w:val="18"/>
    </w:rPr>
  </w:style>
  <w:style w:type="paragraph" w:styleId="1002" w:customStyle="1">
    <w:name w:val="目录 11"/>
    <w:basedOn w:val="768"/>
    <w:next w:val="76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3" w:customStyle="1">
    <w:name w:val="目录 41"/>
    <w:basedOn w:val="768"/>
    <w:next w:val="768"/>
    <w:uiPriority w:val="0"/>
    <w:semiHidden/>
    <w:qFormat/>
    <w:pPr>
      <w:ind w:left="630"/>
      <w:jc w:val="left"/>
    </w:pPr>
    <w:rPr>
      <w:rFonts w:ascii="Times New Roman" w:hAnsi="Times New Roman" w:eastAsia="宋体" w:cs="Times New Roman"/>
      <w:szCs w:val="21"/>
    </w:rPr>
  </w:style>
  <w:style w:type="paragraph" w:styleId="1004" w:customStyle="1">
    <w:name w:val="列表1"/>
    <w:basedOn w:val="768"/>
    <w:uiPriority w:val="0"/>
    <w:qFormat/>
    <w:pPr>
      <w:ind w:left="200" w:hanging="200"/>
    </w:pPr>
    <w:rPr>
      <w:rFonts w:ascii="Times New Roman" w:hAnsi="Times New Roman" w:eastAsia="宋体" w:cs="Times New Roman"/>
      <w:szCs w:val="21"/>
    </w:rPr>
  </w:style>
  <w:style w:type="paragraph" w:styleId="1005" w:customStyle="1">
    <w:name w:val="目录 61"/>
    <w:basedOn w:val="768"/>
    <w:next w:val="768"/>
    <w:uiPriority w:val="0"/>
    <w:semiHidden/>
    <w:qFormat/>
    <w:pPr>
      <w:ind w:left="1050"/>
      <w:jc w:val="left"/>
    </w:pPr>
    <w:rPr>
      <w:rFonts w:ascii="Times New Roman" w:hAnsi="Times New Roman" w:eastAsia="宋体" w:cs="Times New Roman"/>
      <w:szCs w:val="21"/>
    </w:rPr>
  </w:style>
  <w:style w:type="paragraph" w:styleId="1006" w:customStyle="1">
    <w:name w:val="正文文本缩进 31"/>
    <w:basedOn w:val="768"/>
    <w:link w:val="1007"/>
    <w:uiPriority w:val="0"/>
    <w:qFormat/>
    <w:pPr>
      <w:ind w:left="645" w:firstLine="645"/>
    </w:pPr>
    <w:rPr>
      <w:rFonts w:ascii="Arial" w:hAnsi="Arial" w:eastAsia="仿宋_GB2312" w:cs="Arial"/>
      <w:color w:val="ffff00"/>
      <w:sz w:val="32"/>
      <w:szCs w:val="32"/>
    </w:rPr>
  </w:style>
  <w:style w:type="character" w:styleId="1007" w:customStyle="1">
    <w:name w:val="正文文本缩进 3 字符"/>
    <w:link w:val="1006"/>
    <w:uiPriority w:val="0"/>
    <w:qFormat/>
    <w:rPr>
      <w:rFonts w:ascii="Arial" w:hAnsi="Arial" w:eastAsia="仿宋_GB2312" w:cs="Arial"/>
      <w:color w:val="ffff00"/>
      <w:sz w:val="32"/>
      <w:szCs w:val="32"/>
    </w:rPr>
  </w:style>
  <w:style w:type="paragraph" w:styleId="1008" w:customStyle="1">
    <w:name w:val="图表目录1"/>
    <w:basedOn w:val="768"/>
    <w:next w:val="768"/>
    <w:uiPriority w:val="0"/>
    <w:semiHidden/>
    <w:qFormat/>
    <w:pPr>
      <w:ind w:left="840" w:hanging="420"/>
    </w:pPr>
    <w:rPr>
      <w:rFonts w:ascii="Times New Roman" w:hAnsi="Times New Roman" w:eastAsia="宋体" w:cs="Times New Roman"/>
      <w:szCs w:val="21"/>
    </w:rPr>
  </w:style>
  <w:style w:type="paragraph" w:styleId="1009" w:customStyle="1">
    <w:name w:val="目录 21"/>
    <w:basedOn w:val="768"/>
    <w:next w:val="768"/>
    <w:uiPriority w:val="0"/>
    <w:semiHidden/>
    <w:qFormat/>
    <w:pPr>
      <w:ind w:left="210"/>
      <w:jc w:val="left"/>
    </w:pPr>
    <w:rPr>
      <w:rFonts w:ascii="Times New Roman" w:hAnsi="Times New Roman" w:eastAsia="宋体" w:cs="Times New Roman"/>
      <w:smallCaps/>
      <w:szCs w:val="24"/>
    </w:rPr>
  </w:style>
  <w:style w:type="paragraph" w:styleId="1010" w:customStyle="1">
    <w:name w:val="目录 91"/>
    <w:basedOn w:val="768"/>
    <w:next w:val="768"/>
    <w:uiPriority w:val="0"/>
    <w:semiHidden/>
    <w:qFormat/>
    <w:pPr>
      <w:ind w:left="1680"/>
      <w:jc w:val="left"/>
    </w:pPr>
    <w:rPr>
      <w:rFonts w:ascii="Times New Roman" w:hAnsi="Times New Roman" w:eastAsia="宋体" w:cs="Times New Roman"/>
      <w:szCs w:val="21"/>
    </w:rPr>
  </w:style>
  <w:style w:type="paragraph" w:styleId="1011" w:customStyle="1">
    <w:name w:val="正文文本 21"/>
    <w:basedOn w:val="768"/>
    <w:link w:val="1012"/>
    <w:uiPriority w:val="0"/>
    <w:qFormat/>
    <w:pPr>
      <w:jc w:val="center"/>
      <w:widowControl/>
    </w:pPr>
    <w:rPr>
      <w:rFonts w:ascii="楷体_GB2312" w:hAnsi="Times New Roman" w:eastAsia="楷体_GB2312" w:cs="Times New Roman"/>
      <w:sz w:val="28"/>
      <w:szCs w:val="28"/>
    </w:rPr>
  </w:style>
  <w:style w:type="character" w:styleId="1012" w:customStyle="1">
    <w:name w:val="正文文本 2 字符"/>
    <w:link w:val="1011"/>
    <w:uiPriority w:val="0"/>
    <w:qFormat/>
    <w:rPr>
      <w:rFonts w:ascii="楷体_GB2312" w:hAnsi="Times New Roman" w:eastAsia="楷体_GB2312" w:cs="Times New Roman"/>
      <w:sz w:val="28"/>
      <w:szCs w:val="28"/>
    </w:rPr>
  </w:style>
  <w:style w:type="paragraph" w:styleId="1013" w:customStyle="1">
    <w:name w:val="普通(网站)1"/>
    <w:basedOn w:val="768"/>
    <w:uiPriority w:val="99"/>
    <w:qFormat/>
    <w:pPr>
      <w:jc w:val="left"/>
      <w:spacing w:before="100" w:beforeAutospacing="1" w:after="100" w:afterAutospacing="1"/>
      <w:widowControl/>
    </w:pPr>
    <w:rPr>
      <w:rFonts w:ascii="宋体" w:hAnsi="宋体" w:eastAsia="宋体" w:cs="宋体"/>
      <w:sz w:val="24"/>
      <w:szCs w:val="24"/>
    </w:rPr>
  </w:style>
  <w:style w:type="paragraph" w:styleId="1014" w:customStyle="1">
    <w:name w:val="索引 11"/>
    <w:basedOn w:val="768"/>
    <w:next w:val="768"/>
    <w:uiPriority w:val="0"/>
    <w:semiHidden/>
    <w:qFormat/>
    <w:pPr>
      <w:spacing w:line="240" w:lineRule="atLeast"/>
    </w:pPr>
    <w:rPr>
      <w:rFonts w:ascii="Times New Roman" w:hAnsi="Times New Roman" w:eastAsia="宋体" w:cs="Times New Roman"/>
      <w:b/>
      <w:bCs/>
      <w:szCs w:val="21"/>
    </w:rPr>
  </w:style>
  <w:style w:type="paragraph" w:styleId="1015" w:customStyle="1">
    <w:name w:val="批注主题1"/>
    <w:basedOn w:val="977"/>
    <w:next w:val="977"/>
    <w:link w:val="1016"/>
    <w:uiPriority w:val="0"/>
    <w:semiHidden/>
    <w:qFormat/>
    <w:rPr>
      <w:rFonts w:ascii="Times New Roman" w:hAnsi="Times New Roman" w:eastAsia="宋体" w:cs="Times New Roman"/>
      <w:b/>
      <w:bCs/>
      <w:szCs w:val="21"/>
    </w:rPr>
  </w:style>
  <w:style w:type="character" w:styleId="1016" w:customStyle="1">
    <w:name w:val="批注主题 字符"/>
    <w:link w:val="1015"/>
    <w:uiPriority w:val="0"/>
    <w:semiHidden/>
    <w:qFormat/>
    <w:rPr>
      <w:rFonts w:ascii="Times New Roman" w:hAnsi="Times New Roman" w:eastAsia="宋体" w:cs="Times New Roman"/>
      <w:b/>
      <w:bCs/>
      <w:szCs w:val="21"/>
    </w:rPr>
  </w:style>
  <w:style w:type="paragraph" w:styleId="1017" w:customStyle="1">
    <w:name w:val="正文首行缩进1"/>
    <w:basedOn w:val="981"/>
    <w:next w:val="1005"/>
    <w:link w:val="1018"/>
    <w:uiPriority w:val="0"/>
    <w:qFormat/>
    <w:pPr>
      <w:ind w:firstLine="200"/>
      <w:spacing w:line="360" w:lineRule="auto"/>
    </w:pPr>
    <w:rPr>
      <w:rFonts w:ascii="仿宋_GB2312" w:hAnsi="Times New Roman" w:eastAsia="仿宋_GB2312" w:cs="Times New Roman"/>
      <w:sz w:val="30"/>
      <w:szCs w:val="30"/>
    </w:rPr>
  </w:style>
  <w:style w:type="character" w:styleId="1018" w:customStyle="1">
    <w:name w:val="正文首行缩进 字符"/>
    <w:link w:val="1017"/>
    <w:uiPriority w:val="0"/>
    <w:qFormat/>
    <w:rPr>
      <w:rFonts w:ascii="仿宋_GB2312" w:hAnsi="Times New Roman" w:eastAsia="仿宋_GB2312" w:cs="Times New Roman"/>
      <w:sz w:val="30"/>
      <w:szCs w:val="30"/>
    </w:rPr>
  </w:style>
  <w:style w:type="paragraph" w:styleId="1019" w:customStyle="1">
    <w:name w:val="正文首行缩进 21"/>
    <w:basedOn w:val="983"/>
    <w:next w:val="768"/>
    <w:link w:val="1020"/>
    <w:uiPriority w:val="0"/>
    <w:qFormat/>
    <w:pPr>
      <w:ind w:left="0" w:firstLine="420"/>
      <w:spacing w:after="0" w:line="360" w:lineRule="auto"/>
    </w:pPr>
    <w:rPr>
      <w:rFonts w:ascii="宋体" w:hAnsi="宋体" w:eastAsia="宋体" w:cs="Times New Roman"/>
      <w:szCs w:val="20"/>
    </w:rPr>
  </w:style>
  <w:style w:type="character" w:styleId="1020" w:customStyle="1">
    <w:name w:val="正文首行缩进 2 字符"/>
    <w:link w:val="1019"/>
    <w:uiPriority w:val="0"/>
    <w:qFormat/>
    <w:rPr>
      <w:rFonts w:ascii="宋体" w:hAnsi="宋体" w:eastAsia="宋体" w:cs="Times New Roman"/>
      <w:szCs w:val="20"/>
    </w:rPr>
  </w:style>
  <w:style w:type="table" w:styleId="1021" w:customStyle="1">
    <w:name w:val="网格型1"/>
    <w:basedOn w:val="962"/>
    <w:uiPriority w:val="0"/>
    <w:qFormat/>
    <w:pPr>
      <w:jc w:val="both"/>
      <w:widowControl w:val="off"/>
    </w:pPr>
    <w:rPr>
      <w:rFonts w:ascii="Times New Roman" w:hAnsi="Times New Roman" w:eastAsia="宋体" w:cs="Times New Roman"/>
      <w:sz w:val="20"/>
      <w:szCs w:val="20"/>
    </w:rPr>
    <w:tblPr/>
  </w:style>
  <w:style w:type="character" w:styleId="1022" w:customStyle="1">
    <w:name w:val="要点1"/>
    <w:link w:val="768"/>
    <w:uiPriority w:val="0"/>
    <w:qFormat/>
    <w:rPr>
      <w:b/>
      <w:bCs/>
    </w:rPr>
  </w:style>
  <w:style w:type="character" w:styleId="1023" w:customStyle="1">
    <w:name w:val="页码1"/>
    <w:link w:val="768"/>
    <w:uiPriority w:val="0"/>
    <w:qFormat/>
  </w:style>
  <w:style w:type="character" w:styleId="1024" w:customStyle="1">
    <w:name w:val="已访问的超链接1"/>
    <w:link w:val="768"/>
    <w:uiPriority w:val="0"/>
    <w:qFormat/>
    <w:rPr>
      <w:color w:val="800080"/>
      <w:u w:val="single"/>
    </w:rPr>
  </w:style>
  <w:style w:type="character" w:styleId="1025" w:customStyle="1">
    <w:name w:val="强调1"/>
    <w:link w:val="768"/>
    <w:uiPriority w:val="0"/>
    <w:qFormat/>
    <w:rPr>
      <w:i/>
    </w:rPr>
  </w:style>
  <w:style w:type="character" w:styleId="1026" w:customStyle="1">
    <w:name w:val="超链接1"/>
    <w:link w:val="768"/>
    <w:uiPriority w:val="0"/>
    <w:qFormat/>
    <w:rPr>
      <w:color w:val="0000ff"/>
      <w:u w:val="single"/>
    </w:rPr>
  </w:style>
  <w:style w:type="character" w:styleId="1027" w:customStyle="1">
    <w:name w:val="批注引用1"/>
    <w:link w:val="768"/>
    <w:uiPriority w:val="0"/>
    <w:semiHidden/>
    <w:qFormat/>
    <w:rPr>
      <w:sz w:val="21"/>
      <w:szCs w:val="21"/>
    </w:rPr>
  </w:style>
  <w:style w:type="character" w:styleId="1028" w:customStyle="1">
    <w:name w:val="font5 Char"/>
    <w:link w:val="768"/>
    <w:uiPriority w:val="0"/>
    <w:qFormat/>
    <w:rPr>
      <w:rFonts w:ascii="宋体" w:hAnsi="宋体" w:eastAsia="宋体"/>
      <w:sz w:val="28"/>
      <w:szCs w:val="28"/>
      <w:lang w:val="en-US" w:eastAsia="zh-CN" w:bidi="ar-SA"/>
    </w:rPr>
  </w:style>
  <w:style w:type="character" w:styleId="1029" w:customStyle="1">
    <w:name w:val="二级目录 Char"/>
    <w:link w:val="1030"/>
    <w:uiPriority w:val="0"/>
    <w:qFormat/>
    <w:rPr>
      <w:b/>
      <w:sz w:val="30"/>
      <w:szCs w:val="28"/>
    </w:rPr>
  </w:style>
  <w:style w:type="paragraph" w:styleId="1030" w:customStyle="1">
    <w:name w:val="二级目录"/>
    <w:next w:val="768"/>
    <w:link w:val="102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1" w:customStyle="1">
    <w:name w:val="列出段落 Char"/>
    <w:link w:val="1032"/>
    <w:uiPriority w:val="0"/>
    <w:qFormat/>
    <w:rPr>
      <w:rFonts w:ascii="Calibri" w:hAnsi="Calibri"/>
      <w:sz w:val="24"/>
      <w:szCs w:val="24"/>
      <w:lang w:eastAsia="en-US" w:bidi="en-US"/>
    </w:rPr>
  </w:style>
  <w:style w:type="paragraph" w:styleId="1032" w:customStyle="1">
    <w:name w:val="列出段落1"/>
    <w:basedOn w:val="768"/>
    <w:link w:val="1031"/>
    <w:uiPriority w:val="0"/>
    <w:qFormat/>
    <w:pPr>
      <w:contextualSpacing/>
      <w:ind w:left="720"/>
      <w:jc w:val="left"/>
      <w:widowControl/>
    </w:pPr>
    <w:rPr>
      <w:rFonts w:ascii="Calibri" w:hAnsi="Calibri"/>
      <w:sz w:val="24"/>
      <w:szCs w:val="24"/>
      <w:lang w:eastAsia="en-US" w:bidi="en-US"/>
    </w:rPr>
  </w:style>
  <w:style w:type="paragraph" w:styleId="1033" w:customStyle="1">
    <w:name w:val="Body Text(ch)"/>
    <w:basedOn w:val="768"/>
    <w:next w:val="981"/>
    <w:uiPriority w:val="0"/>
    <w:qFormat/>
    <w:pPr>
      <w:spacing w:after="120"/>
    </w:pPr>
    <w:rPr>
      <w:rFonts w:ascii="宋体" w:hAnsi="Arial" w:eastAsia="宋体" w:cs="Times New Roman"/>
      <w:bCs/>
      <w:iCs/>
      <w:szCs w:val="24"/>
    </w:rPr>
  </w:style>
  <w:style w:type="paragraph" w:styleId="1034"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customStyle="1">
    <w:name w:val="Char"/>
    <w:basedOn w:val="768"/>
    <w:uiPriority w:val="0"/>
    <w:qFormat/>
    <w:pPr>
      <w:ind w:firstLine="200"/>
      <w:tabs>
        <w:tab w:val="left" w:pos="360" w:leader="none"/>
      </w:tabs>
    </w:pPr>
    <w:rPr>
      <w:rFonts w:ascii="Times New Roman" w:hAnsi="Times New Roman" w:eastAsia="宋体" w:cs="Times New Roman"/>
      <w:sz w:val="28"/>
      <w:szCs w:val="30"/>
    </w:rPr>
  </w:style>
  <w:style w:type="paragraph" w:styleId="1037" w:customStyle="1">
    <w:name w:val=" Char"/>
    <w:basedOn w:val="975"/>
    <w:uiPriority w:val="0"/>
    <w:qFormat/>
    <w:rPr>
      <w:rFonts w:ascii="Tahoma" w:hAnsi="Tahoma"/>
      <w:sz w:val="24"/>
      <w:szCs w:val="24"/>
    </w:rPr>
  </w:style>
  <w:style w:type="paragraph" w:styleId="1038" w:customStyle="1">
    <w:name w:val="普通正文"/>
    <w:basedOn w:val="1039"/>
    <w:uiPriority w:val="0"/>
    <w:qFormat/>
    <w:pPr>
      <w:ind w:firstLine="480"/>
      <w:jc w:val="left"/>
      <w:spacing w:before="120" w:after="120" w:line="360" w:lineRule="auto"/>
    </w:pPr>
    <w:rPr>
      <w:rFonts w:ascii="Arial" w:hAnsi="Arial" w:eastAsia="宋体" w:cs="Times New Roman"/>
      <w:sz w:val="24"/>
      <w:szCs w:val="24"/>
    </w:rPr>
  </w:style>
  <w:style w:type="paragraph" w:styleId="1039" w:customStyle="1">
    <w:name w:val="正文1"/>
    <w:basedOn w:val="1040"/>
    <w:next w:val="1041"/>
    <w:uiPriority w:val="0"/>
    <w:qFormat/>
    <w:pPr>
      <w:ind w:firstLine="480"/>
      <w:spacing w:line="440" w:lineRule="exact"/>
    </w:pPr>
    <w:rPr>
      <w:rFonts w:ascii="微软雅黑" w:hAnsi="微软雅黑" w:eastAsia="微软雅黑"/>
      <w:sz w:val="24"/>
      <w:szCs w:val="20"/>
    </w:rPr>
  </w:style>
  <w:style w:type="paragraph" w:styleId="1040" w:customStyle="1">
    <w:name w:val="正文11"/>
    <w:next w:val="10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1" w:customStyle="1">
    <w:name w:val="正文文本1"/>
    <w:basedOn w:val="1039"/>
    <w:next w:val="1042"/>
    <w:uiPriority w:val="0"/>
    <w:qFormat/>
    <w:pPr>
      <w:spacing w:after="120"/>
    </w:pPr>
    <w:rPr>
      <w:lang w:eastAsia="en-US"/>
    </w:rPr>
  </w:style>
  <w:style w:type="paragraph" w:styleId="1042" w:customStyle="1">
    <w:name w:val="一级条标题"/>
    <w:basedOn w:val="1043"/>
    <w:next w:val="10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3" w:customStyle="1">
    <w:name w:val="章标题"/>
    <w:next w:val="76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4" w:customStyle="1">
    <w:name w:val="段"/>
    <w:next w:val="768"/>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1045" w:customStyle="1">
    <w:name w:val="table_lines"/>
    <w:basedOn w:val="768"/>
    <w:uiPriority w:val="0"/>
    <w:qFormat/>
    <w:pPr>
      <w:jc w:val="left"/>
      <w:widowControl/>
    </w:pPr>
    <w:rPr>
      <w:rFonts w:ascii="Times New Roman" w:hAnsi="Times New Roman" w:eastAsia="宋体" w:cs="Times New Roman"/>
      <w:sz w:val="20"/>
      <w:szCs w:val="20"/>
      <w:lang w:val="de-DE" w:eastAsia="de-DE"/>
    </w:rPr>
  </w:style>
  <w:style w:type="paragraph" w:styleId="10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7" w:customStyle="1">
    <w:name w:val="font7"/>
    <w:basedOn w:val="76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8" w:customStyle="1">
    <w:name w:val=" Char Char Char Char"/>
    <w:basedOn w:val="975"/>
    <w:uiPriority w:val="0"/>
    <w:qFormat/>
    <w:pPr>
      <w:spacing w:line="360" w:lineRule="auto"/>
    </w:pPr>
    <w:rPr>
      <w:rFonts w:ascii="Tahoma" w:hAnsi="Tahoma"/>
      <w:sz w:val="24"/>
      <w:szCs w:val="24"/>
    </w:rPr>
  </w:style>
  <w:style w:type="paragraph" w:styleId="1049" w:customStyle="1">
    <w:name w:val="列出段落"/>
    <w:basedOn w:val="768"/>
    <w:uiPriority w:val="0"/>
    <w:qFormat/>
    <w:pPr>
      <w:contextualSpacing/>
      <w:ind w:left="720"/>
      <w:jc w:val="left"/>
      <w:widowControl/>
    </w:pPr>
    <w:rPr>
      <w:rFonts w:ascii="Calibri" w:hAnsi="Calibri" w:eastAsia="宋体" w:cs="Times New Roman"/>
      <w:sz w:val="24"/>
      <w:szCs w:val="24"/>
      <w:lang w:eastAsia="en-US" w:bidi="en-US"/>
    </w:rPr>
  </w:style>
  <w:style w:type="paragraph" w:styleId="1050" w:customStyle="1">
    <w:name w:val="4"/>
    <w:basedOn w:val="768"/>
    <w:next w:val="1006"/>
    <w:uiPriority w:val="0"/>
    <w:qFormat/>
    <w:pPr>
      <w:ind w:firstLine="420"/>
      <w:spacing w:line="360" w:lineRule="auto"/>
    </w:pPr>
    <w:rPr>
      <w:rFonts w:ascii="Times New Roman" w:hAnsi="Times New Roman" w:eastAsia="宋体" w:cs="Times New Roman"/>
      <w:color w:val="ff0000"/>
      <w:sz w:val="24"/>
      <w:szCs w:val="24"/>
    </w:rPr>
  </w:style>
  <w:style w:type="paragraph" w:styleId="1051" w:customStyle="1">
    <w:name w:val="普通 (Web)"/>
    <w:basedOn w:val="768"/>
    <w:uiPriority w:val="0"/>
    <w:qFormat/>
    <w:pPr>
      <w:jc w:val="left"/>
      <w:spacing w:before="100" w:beforeAutospacing="1" w:after="100" w:afterAutospacing="1"/>
      <w:widowControl/>
    </w:pPr>
    <w:rPr>
      <w:rFonts w:ascii="宋体" w:hAnsi="宋体" w:eastAsia="宋体" w:cs="Times New Roman"/>
      <w:sz w:val="24"/>
      <w:szCs w:val="24"/>
    </w:rPr>
  </w:style>
  <w:style w:type="paragraph" w:styleId="1052" w:customStyle="1">
    <w:name w:val=" Char Char Char Char Char Char Char Char Char Char"/>
    <w:basedOn w:val="768"/>
    <w:uiPriority w:val="0"/>
    <w:qFormat/>
    <w:pPr>
      <w:spacing w:line="360" w:lineRule="auto"/>
    </w:pPr>
    <w:rPr>
      <w:rFonts w:ascii="Times New Roman" w:hAnsi="Times New Roman" w:eastAsia="宋体" w:cs="Times New Roman"/>
      <w:sz w:val="24"/>
      <w:szCs w:val="20"/>
    </w:rPr>
  </w:style>
  <w:style w:type="paragraph" w:styleId="1053" w:customStyle="1">
    <w:name w:val="样式1"/>
    <w:basedOn w:val="768"/>
    <w:uiPriority w:val="0"/>
    <w:qFormat/>
    <w:pPr>
      <w:numPr>
        <w:ilvl w:val="0"/>
        <w:numId w:val="3"/>
      </w:numPr>
    </w:pPr>
    <w:rPr>
      <w:rFonts w:ascii="宋体" w:hAnsi="宋体" w:eastAsia="宋体" w:cs="Times New Roman"/>
      <w:szCs w:val="21"/>
    </w:rPr>
  </w:style>
  <w:style w:type="paragraph" w:styleId="1054" w:customStyle="1">
    <w:name w:val="font6"/>
    <w:basedOn w:val="76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5"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7" w:customStyle="1">
    <w:name w:val="标题3"/>
    <w:basedOn w:val="768"/>
    <w:next w:val="768"/>
    <w:uiPriority w:val="0"/>
    <w:qFormat/>
    <w:pPr>
      <w:ind w:firstLine="624"/>
      <w:spacing w:line="590" w:lineRule="atLeast"/>
    </w:pPr>
    <w:rPr>
      <w:rFonts w:ascii="方正黑体_GBK" w:hAnsi="Times New Roman" w:eastAsia="方正黑体_GBK" w:cs="Times New Roman"/>
      <w:sz w:val="32"/>
      <w:szCs w:val="32"/>
    </w:rPr>
  </w:style>
  <w:style w:type="paragraph" w:styleId="1058"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0" w:customStyle="1">
    <w:name w:val="Char Char Char Char Char Char Char Char"/>
    <w:basedOn w:val="768"/>
    <w:uiPriority w:val="0"/>
    <w:qFormat/>
    <w:pPr>
      <w:jc w:val="left"/>
      <w:spacing w:after="160" w:line="240" w:lineRule="exact"/>
      <w:widowControl/>
    </w:pPr>
    <w:rPr>
      <w:rFonts w:ascii="Verdana" w:hAnsi="Verdana" w:eastAsia="宋体" w:cs="Times New Roman"/>
      <w:sz w:val="20"/>
      <w:szCs w:val="20"/>
      <w:lang w:eastAsia="en-US"/>
    </w:rPr>
  </w:style>
  <w:style w:type="paragraph" w:styleId="1061"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2" w:customStyle="1">
    <w:name w:val=" Char Char Char Char Char Char Char Char"/>
    <w:basedOn w:val="768"/>
    <w:uiPriority w:val="0"/>
    <w:qFormat/>
    <w:pPr>
      <w:jc w:val="left"/>
      <w:spacing w:after="160" w:line="240" w:lineRule="exact"/>
      <w:widowControl/>
    </w:pPr>
    <w:rPr>
      <w:rFonts w:ascii="Verdana" w:hAnsi="Verdana" w:eastAsia="宋体" w:cs="Times New Roman"/>
      <w:sz w:val="20"/>
      <w:szCs w:val="20"/>
      <w:lang w:eastAsia="en-US"/>
    </w:rPr>
  </w:style>
  <w:style w:type="paragraph" w:styleId="1063" w:customStyle="1">
    <w:name w:val="xl30"/>
    <w:basedOn w:val="76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4" w:customStyle="1">
    <w:name w:val="Char Char Char Char"/>
    <w:basedOn w:val="975"/>
    <w:uiPriority w:val="0"/>
    <w:qFormat/>
    <w:pPr>
      <w:spacing w:line="360" w:lineRule="auto"/>
    </w:pPr>
    <w:rPr>
      <w:rFonts w:ascii="Tahoma" w:hAnsi="Tahoma"/>
      <w:sz w:val="24"/>
      <w:szCs w:val="24"/>
    </w:rPr>
  </w:style>
  <w:style w:type="paragraph" w:styleId="1065" w:customStyle="1">
    <w:name w:val="table_1stline"/>
    <w:basedOn w:val="76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6" w:customStyle="1">
    <w:name w:val="font5"/>
    <w:basedOn w:val="76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7" w:customStyle="1">
    <w:name w:val="标题1"/>
    <w:basedOn w:val="768"/>
    <w:next w:val="76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1">
    <w:name w:val="List Paragraph"/>
    <w:basedOn w:val="768"/>
    <w:uiPriority w:val="99"/>
    <w:qFormat/>
    <w:pPr>
      <w:ind w:firstLine="420"/>
    </w:pPr>
  </w:style>
  <w:style w:type="paragraph" w:styleId="1072" w:customStyle="1">
    <w:name w:val="附件01样式3.1"/>
    <w:basedOn w:val="952"/>
    <w:uiPriority w:val="0"/>
    <w:qFormat/>
    <w:pPr>
      <w:numPr>
        <w:ilvl w:val="0"/>
        <w:numId w:val="4"/>
      </w:numPr>
      <w:ind w:left="0" w:right="240" w:firstLine="0"/>
      <w:spacing w:before="260" w:after="260" w:line="415" w:lineRule="auto"/>
      <w:tabs>
        <w:tab w:val="left" w:pos="360" w:leader="none"/>
      </w:tabs>
    </w:pPr>
    <w:rPr>
      <w:rFonts w:ascii="Arial" w:eastAsia="黑体"/>
      <w:sz w:val="32"/>
    </w:rPr>
  </w:style>
  <w:style w:type="paragraph" w:styleId="1073" w:customStyle="1">
    <w:name w:val="RZM投标图片和表格"/>
    <w:basedOn w:val="768"/>
    <w:uiPriority w:val="0"/>
    <w:qFormat/>
  </w:style>
  <w:style w:type="paragraph" w:styleId="1074"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075" w:customStyle="1">
    <w:name w:val="列出段落2"/>
    <w:basedOn w:val="768"/>
    <w:uiPriority w:val="34"/>
    <w:qFormat/>
    <w:pPr>
      <w:contextualSpacing/>
      <w:ind w:left="720"/>
      <w:jc w:val="left"/>
      <w:widowControl/>
    </w:pPr>
    <w:rPr>
      <w:sz w:val="24"/>
      <w:lang w:eastAsia="en-US" w:bidi="en-US"/>
    </w:rPr>
  </w:style>
  <w:style w:type="paragraph" w:styleId="1076" w:customStyle="1">
    <w:name w:val="*正文"/>
    <w:basedOn w:val="768"/>
    <w:next w:val="768"/>
    <w:uiPriority w:val="0"/>
    <w:qFormat/>
    <w:pPr>
      <w:ind w:firstLine="482"/>
      <w:widowControl/>
    </w:pPr>
    <w:rPr>
      <w:rFonts w:ascii="微软雅黑" w:hAnsi="微软雅黑" w:eastAsia="微软雅黑" w:cs="Times New Roman"/>
      <w:szCs w:val="20"/>
    </w:rPr>
  </w:style>
  <w:style w:type="table" w:styleId="1077" w:customStyle="1">
    <w:name w:val="Table Normal"/>
    <w:uiPriority w:val="0"/>
    <w:unhideWhenUsed/>
    <w:qFormat/>
    <w:tblPr/>
  </w:style>
  <w:style w:type="paragraph" w:styleId="1078" w:customStyle="1">
    <w:name w:val="Plain Text1"/>
    <w:basedOn w:val="768"/>
    <w:uiPriority w:val="0"/>
    <w:qFormat/>
    <w:pPr>
      <w:spacing w:line="312" w:lineRule="atLeast"/>
    </w:pPr>
    <w:rPr>
      <w:rFonts w:ascii="Arial Black" w:hAnsi="Courier New"/>
      <w:szCs w:val="20"/>
    </w:rPr>
  </w:style>
  <w:style w:type="paragraph" w:styleId="1079" w:customStyle="1">
    <w:name w:val="BodyText1I"/>
    <w:basedOn w:val="1080"/>
    <w:uiPriority w:val="0"/>
    <w:qFormat/>
    <w:pPr>
      <w:ind w:firstLine="200"/>
      <w:jc w:val="both"/>
      <w:spacing w:after="120" w:line="360" w:lineRule="auto"/>
    </w:pPr>
    <w:rPr>
      <w:rFonts w:ascii="仿宋_GB2312" w:hAnsi="Arial" w:eastAsia="仿宋_GB2312"/>
      <w:sz w:val="30"/>
      <w:szCs w:val="30"/>
    </w:rPr>
  </w:style>
  <w:style w:type="paragraph" w:styleId="1080" w:customStyle="1">
    <w:name w:val="BodyText"/>
    <w:basedOn w:val="768"/>
    <w:next w:val="1081"/>
    <w:uiPriority w:val="0"/>
    <w:qFormat/>
    <w:pPr>
      <w:jc w:val="both"/>
      <w:spacing w:after="120"/>
    </w:pPr>
  </w:style>
  <w:style w:type="paragraph" w:styleId="1081" w:customStyle="1">
    <w:name w:val="toc 2"/>
    <w:basedOn w:val="768"/>
    <w:next w:val="768"/>
    <w:uiPriority w:val="0"/>
    <w:qFormat/>
    <w:pPr>
      <w:ind w:left="210"/>
      <w:jc w:val="left"/>
    </w:pPr>
    <w:rPr>
      <w:rFonts w:ascii="Times New Roman" w:hAnsi="Times New Roman"/>
      <w:smallCaps/>
      <w:sz w:val="20"/>
      <w:szCs w:val="20"/>
      <w:lang w:val="en-US" w:eastAsia="zh-CN" w:bidi="ar-SA"/>
    </w:rPr>
  </w:style>
  <w:style w:type="character" w:styleId="1082" w:customStyle="1">
    <w:name w:val="font61"/>
    <w:basedOn w:val="778"/>
    <w:uiPriority w:val="0"/>
    <w:qFormat/>
    <w:rPr>
      <w:rFonts w:hint="eastAsia" w:ascii="微软雅黑" w:hAnsi="微软雅黑" w:eastAsia="微软雅黑" w:cs="微软雅黑"/>
      <w:color w:val="000000"/>
      <w:sz w:val="16"/>
      <w:szCs w:val="16"/>
      <w:u w:val="none"/>
    </w:rPr>
  </w:style>
  <w:style w:type="character" w:styleId="1083" w:customStyle="1">
    <w:name w:val="font91"/>
    <w:basedOn w:val="778"/>
    <w:uiPriority w:val="0"/>
    <w:qFormat/>
    <w:rPr>
      <w:rFonts w:hint="eastAsia" w:ascii="宋体" w:hAnsi="宋体" w:eastAsia="宋体" w:cs="宋体"/>
      <w:color w:val="000000"/>
      <w:sz w:val="16"/>
      <w:szCs w:val="16"/>
      <w:u w:val="none"/>
    </w:rPr>
  </w:style>
  <w:style w:type="character" w:styleId="1084" w:customStyle="1">
    <w:name w:val="font71"/>
    <w:basedOn w:val="778"/>
    <w:uiPriority w:val="0"/>
    <w:qFormat/>
    <w:rPr>
      <w:rFonts w:hint="eastAsia" w:ascii="微软雅黑" w:hAnsi="微软雅黑" w:eastAsia="微软雅黑" w:cs="微软雅黑"/>
      <w:color w:val="ff0000"/>
      <w:sz w:val="16"/>
      <w:szCs w:val="16"/>
      <w:u w:val="none"/>
    </w:rPr>
  </w:style>
  <w:style w:type="character" w:styleId="1085" w:customStyle="1">
    <w:name w:val="font01"/>
    <w:basedOn w:val="778"/>
    <w:uiPriority w:val="0"/>
    <w:qFormat/>
    <w:rPr>
      <w:rFonts w:hint="eastAsia" w:ascii="宋体" w:hAnsi="宋体" w:eastAsia="宋体" w:cs="宋体"/>
      <w:color w:val="000000"/>
      <w:sz w:val="22"/>
      <w:szCs w:val="22"/>
      <w:u w:val="none"/>
    </w:rPr>
  </w:style>
  <w:style w:type="character" w:styleId="1086" w:customStyle="1">
    <w:name w:val="font11"/>
    <w:basedOn w:val="778"/>
    <w:uiPriority w:val="0"/>
    <w:qFormat/>
    <w:rPr>
      <w:rFonts w:hint="eastAsia" w:ascii="宋体" w:hAnsi="宋体" w:eastAsia="宋体" w:cs="宋体"/>
      <w:color w:val="ff0000"/>
      <w:sz w:val="22"/>
      <w:szCs w:val="22"/>
      <w:u w:val="none"/>
    </w:rPr>
  </w:style>
  <w:style w:type="character" w:styleId="1087" w:customStyle="1">
    <w:name w:val="font21"/>
    <w:basedOn w:val="778"/>
    <w:uiPriority w:val="0"/>
    <w:qFormat/>
    <w:rPr>
      <w:rFonts w:hint="eastAsia" w:ascii="宋体" w:hAnsi="宋体" w:eastAsia="宋体" w:cs="宋体"/>
      <w:color w:val="4874cb"/>
      <w:sz w:val="22"/>
      <w:szCs w:val="22"/>
      <w:u w:val="none"/>
    </w:rPr>
  </w:style>
  <w:style w:type="character" w:styleId="1088" w:customStyle="1">
    <w:name w:val="font31"/>
    <w:basedOn w:val="778"/>
    <w:uiPriority w:val="0"/>
    <w:qFormat/>
    <w:rPr>
      <w:rFonts w:hint="eastAsia" w:ascii="宋体" w:hAnsi="宋体" w:eastAsia="宋体" w:cs="宋体"/>
      <w:color w:val="000000"/>
      <w:sz w:val="22"/>
      <w:szCs w:val="22"/>
      <w:u w:val="none"/>
    </w:rPr>
  </w:style>
  <w:style w:type="numbering" w:styleId="11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蒋鹏</cp:lastModifiedBy>
  <cp:revision>15</cp:revision>
  <dcterms:created xsi:type="dcterms:W3CDTF">2025-12-26T03:51:00Z</dcterms:created>
  <dcterms:modified xsi:type="dcterms:W3CDTF">2026-06-08T03:30:49Z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eyJoZGlkIjoiYzNhMmNmYTFiNjgzNDZmNzRhOWY3ODI2MjViYzAzNzciLCJ1c2VySWQiOiIyNTI3NzczODQifQ==</vt:lpwstr>
  </property>
  <property fmtid="{D5CDD505-2E9C-101B-9397-08002B2CF9AE}" pid="3" name="KSOProductBuildVer">
    <vt:lpwstr>2052-12.1.0.26375</vt:lpwstr>
  </property>
  <property fmtid="{D5CDD505-2E9C-101B-9397-08002B2CF9AE}" pid="4" name="ICV">
    <vt:lpwstr>0002CBA4E5E44316BF3B75765F1D0F77_13</vt:lpwstr>
  </property>
</Properties>
</file>